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494B0" w14:textId="0AC34B03" w:rsidR="006F166B" w:rsidRPr="006F166B" w:rsidRDefault="006F166B" w:rsidP="00995A9D">
      <w:pPr>
        <w:spacing w:after="0" w:line="240" w:lineRule="auto"/>
        <w:jc w:val="center"/>
        <w:rPr>
          <w:rFonts w:ascii="Trebuchet MS" w:hAnsi="Trebuchet MS"/>
          <w:b/>
          <w:color w:val="000000" w:themeColor="text1"/>
          <w:sz w:val="28"/>
          <w:szCs w:val="28"/>
          <w:u w:val="single"/>
        </w:rPr>
      </w:pPr>
      <w:r>
        <w:rPr>
          <w:rFonts w:ascii="Trebuchet MS" w:hAnsi="Trebuchet MS"/>
          <w:b/>
          <w:color w:val="000000" w:themeColor="text1"/>
          <w:sz w:val="28"/>
          <w:u w:val="single"/>
        </w:rPr>
        <w:t>Příloha D:</w:t>
      </w:r>
    </w:p>
    <w:p w14:paraId="2168D325" w14:textId="77777777" w:rsidR="006F166B" w:rsidRDefault="006F166B" w:rsidP="00995A9D">
      <w:pPr>
        <w:spacing w:after="0" w:line="240" w:lineRule="auto"/>
        <w:jc w:val="center"/>
        <w:rPr>
          <w:rFonts w:ascii="Trebuchet MS" w:hAnsi="Trebuchet MS"/>
          <w:b/>
          <w:i/>
          <w:color w:val="4F6228"/>
          <w:sz w:val="28"/>
          <w:szCs w:val="28"/>
        </w:rPr>
      </w:pPr>
    </w:p>
    <w:p w14:paraId="4D78F68D" w14:textId="059BC758" w:rsidR="00DD1D5E" w:rsidRPr="007A6D56" w:rsidRDefault="007B10AD" w:rsidP="00712FF4">
      <w:pPr>
        <w:spacing w:after="120" w:line="240" w:lineRule="auto"/>
        <w:jc w:val="center"/>
        <w:rPr>
          <w:rFonts w:ascii="Trebuchet MS" w:hAnsi="Trebuchet MS"/>
          <w:b/>
          <w:i/>
          <w:color w:val="4F6228"/>
          <w:sz w:val="28"/>
          <w:szCs w:val="28"/>
        </w:rPr>
      </w:pPr>
      <w:r>
        <w:rPr>
          <w:rFonts w:ascii="Trebuchet MS" w:hAnsi="Trebuchet MS"/>
          <w:b/>
          <w:i/>
          <w:color w:val="4F6228"/>
          <w:sz w:val="28"/>
        </w:rPr>
        <w:t>Netechnické shrnutí</w:t>
      </w:r>
    </w:p>
    <w:p w14:paraId="34975D55" w14:textId="267AA4F5" w:rsidR="00965B74" w:rsidRPr="007A6D56" w:rsidRDefault="0004393A" w:rsidP="00712FF4">
      <w:pPr>
        <w:spacing w:before="120" w:after="120" w:line="240" w:lineRule="auto"/>
        <w:jc w:val="center"/>
        <w:rPr>
          <w:rFonts w:ascii="Trebuchet MS" w:hAnsi="Trebuchet MS"/>
          <w:b/>
          <w:color w:val="4F6228"/>
          <w:sz w:val="28"/>
          <w:szCs w:val="28"/>
        </w:rPr>
      </w:pPr>
      <w:r>
        <w:rPr>
          <w:rFonts w:ascii="Trebuchet MS" w:hAnsi="Trebuchet MS"/>
          <w:b/>
          <w:color w:val="4F6228"/>
          <w:sz w:val="28"/>
        </w:rPr>
        <w:t>programu spolupráce CENTRAL EUROPE 2020</w:t>
      </w:r>
    </w:p>
    <w:p w14:paraId="2DE4651D" w14:textId="69338E6E" w:rsidR="009033E4" w:rsidRPr="007A6D56" w:rsidRDefault="00660B53" w:rsidP="00712FF4">
      <w:pPr>
        <w:spacing w:before="120" w:after="120" w:line="240" w:lineRule="auto"/>
        <w:jc w:val="center"/>
        <w:rPr>
          <w:rFonts w:ascii="Trebuchet MS" w:hAnsi="Trebuchet MS"/>
          <w:b/>
          <w:color w:val="4F6228"/>
          <w:sz w:val="28"/>
          <w:szCs w:val="28"/>
        </w:rPr>
      </w:pPr>
      <w:r>
        <w:rPr>
          <w:rFonts w:ascii="Trebuchet MS" w:hAnsi="Trebuchet MS"/>
          <w:b/>
          <w:i/>
          <w:color w:val="4F6228"/>
          <w:sz w:val="24"/>
        </w:rPr>
        <w:t>duben 2014</w:t>
      </w:r>
    </w:p>
    <w:p w14:paraId="2E07DE35" w14:textId="77777777" w:rsidR="008A436C" w:rsidRDefault="008A436C" w:rsidP="008A436C">
      <w:pPr>
        <w:pStyle w:val="Odstavecseseznamem"/>
        <w:spacing w:before="120" w:after="0" w:line="240" w:lineRule="auto"/>
        <w:ind w:left="0"/>
        <w:contextualSpacing w:val="0"/>
        <w:jc w:val="both"/>
        <w:rPr>
          <w:rFonts w:ascii="Trebuchet MS" w:hAnsi="Trebuchet MS"/>
          <w:sz w:val="20"/>
        </w:rPr>
      </w:pPr>
    </w:p>
    <w:p w14:paraId="7EE45478" w14:textId="6096D38C" w:rsidR="00FC61E4" w:rsidRPr="00EB381D" w:rsidRDefault="00EB381D" w:rsidP="00712FF4">
      <w:pPr>
        <w:spacing w:before="120" w:after="0"/>
        <w:jc w:val="both"/>
        <w:rPr>
          <w:rFonts w:ascii="Trebuchet MS" w:hAnsi="Trebuchet MS" w:cs="Verdana"/>
          <w:sz w:val="20"/>
          <w:szCs w:val="20"/>
        </w:rPr>
      </w:pPr>
      <w:r>
        <w:rPr>
          <w:rFonts w:ascii="Trebuchet MS" w:hAnsi="Trebuchet MS"/>
          <w:sz w:val="20"/>
        </w:rPr>
        <w:t>Nadnárodní program CENTRAL EUROPE bude v nadcházejícím programovém období 2014-2020 podporovat regionální spolupráci mezi středoevropskými zeměmi. Účastnické členské státy po důkladné konzultaci příslušných partnerů a zainteresovaných stran v roce 2013 odsouhlasily hlavní proměnné programu. Tento dokument obsahuje shrnutí oficiální programu spolupráce CENTRAL EUROPE 2020 předloženého ke schválení Evropské komisi a jeho cílem je poskytnout souhrnné informace o strategickém zaměření tohoto nového programu.</w:t>
      </w:r>
    </w:p>
    <w:p w14:paraId="188968CC" w14:textId="77777777" w:rsidR="00EB381D" w:rsidRPr="00EB381D" w:rsidRDefault="00EB381D" w:rsidP="008A436C">
      <w:pPr>
        <w:pStyle w:val="Odstavecseseznamem"/>
        <w:spacing w:before="120" w:after="0" w:line="240" w:lineRule="auto"/>
        <w:ind w:left="0"/>
        <w:contextualSpacing w:val="0"/>
        <w:jc w:val="both"/>
        <w:rPr>
          <w:rFonts w:ascii="Trebuchet MS" w:hAnsi="Trebuchet MS"/>
          <w:sz w:val="20"/>
        </w:rPr>
      </w:pPr>
    </w:p>
    <w:p w14:paraId="6A860E7B" w14:textId="77777777" w:rsidR="00447E37" w:rsidRPr="007A6D56" w:rsidRDefault="007B62D2" w:rsidP="00E84715">
      <w:pPr>
        <w:pStyle w:val="Nadpis1"/>
        <w:spacing w:before="120" w:after="0" w:line="240" w:lineRule="auto"/>
        <w:rPr>
          <w:rFonts w:ascii="Trebuchet MS" w:hAnsi="Trebuchet MS"/>
          <w:color w:val="C00000"/>
          <w:sz w:val="22"/>
        </w:rPr>
      </w:pPr>
      <w:bookmarkStart w:id="0" w:name="_Toc369523936"/>
      <w:r>
        <w:rPr>
          <w:rFonts w:ascii="Trebuchet MS" w:hAnsi="Trebuchet MS"/>
          <w:color w:val="C00000"/>
          <w:sz w:val="22"/>
        </w:rPr>
        <w:t xml:space="preserve">1. </w:t>
      </w:r>
      <w:bookmarkEnd w:id="0"/>
      <w:r>
        <w:rPr>
          <w:rFonts w:ascii="Trebuchet MS" w:hAnsi="Trebuchet MS"/>
          <w:color w:val="C00000"/>
          <w:sz w:val="22"/>
        </w:rPr>
        <w:t>CENTRAL EUROPE 2020: Kontext</w:t>
      </w:r>
    </w:p>
    <w:p w14:paraId="33E6839D" w14:textId="7C335B76" w:rsidR="003E0536" w:rsidRPr="00D40FEC" w:rsidRDefault="003E0536" w:rsidP="00712FF4">
      <w:pPr>
        <w:spacing w:before="120" w:after="120"/>
        <w:jc w:val="both"/>
        <w:rPr>
          <w:rFonts w:ascii="Trebuchet MS" w:hAnsi="Trebuchet MS" w:cs="Verdana"/>
          <w:sz w:val="20"/>
          <w:szCs w:val="20"/>
        </w:rPr>
      </w:pPr>
      <w:r>
        <w:rPr>
          <w:rFonts w:ascii="Trebuchet MS" w:hAnsi="Trebuchet MS"/>
          <w:sz w:val="20"/>
        </w:rPr>
        <w:t>Program CENTRAL EUROPE 2020 pokrývá plochu přes milion čtverečních kilometrů, kde žije přibližně 146 milionů lidí. V rámci programu spolupracuje devět členských států Evropské unie (EU) včetně všech regionů České republiky, Chorvatska, Maďarska, Polska, Rakouska, Slovenska, Slovinska, osmi německých spolkových zemí (Bádensko-Württembersko, Bavorsko, Berlín, Braniborsko, Meklenbursko-Přední Pomořansko, Sasko, Sasko-Anhaltsko, Durynsko) a devíti italských regionů (Emilia-Romagna, Friuli Venezia Giulia, Ligurie, Lombardie, Piemont, autonomní provincie Bolzano, autonomní provincie Trento, Valle d’Aosta a Benátsko). Program celkově pokrývá oblast tvořenou 76</w:t>
      </w:r>
      <w:r w:rsidR="0059439D">
        <w:rPr>
          <w:rFonts w:ascii="Trebuchet MS" w:hAnsi="Trebuchet MS"/>
          <w:sz w:val="20"/>
        </w:rPr>
        <w:t> </w:t>
      </w:r>
      <w:r>
        <w:rPr>
          <w:rFonts w:ascii="Trebuchet MS" w:hAnsi="Trebuchet MS"/>
          <w:sz w:val="20"/>
        </w:rPr>
        <w:t>statistickými regiony NUTS 2.</w:t>
      </w:r>
    </w:p>
    <w:p w14:paraId="079E71F7" w14:textId="3117EE8B" w:rsidR="00070AC6" w:rsidRPr="00070AC6" w:rsidRDefault="003E0536" w:rsidP="008055CB">
      <w:pPr>
        <w:pStyle w:val="Odstavecseseznamem"/>
        <w:spacing w:before="120" w:after="120" w:line="240" w:lineRule="auto"/>
        <w:ind w:left="0"/>
        <w:contextualSpacing w:val="0"/>
        <w:jc w:val="both"/>
        <w:rPr>
          <w:rFonts w:ascii="Trebuchet MS" w:hAnsi="Trebuchet MS"/>
          <w:b/>
          <w:sz w:val="18"/>
        </w:rPr>
      </w:pPr>
      <w:r>
        <w:rPr>
          <w:rFonts w:ascii="Trebuchet MS" w:hAnsi="Trebuchet MS" w:cs="Verdana"/>
          <w:sz w:val="20"/>
          <w:szCs w:val="20"/>
        </w:rPr>
        <w:br/>
      </w:r>
      <w:r>
        <w:rPr>
          <w:rFonts w:ascii="Trebuchet MS" w:hAnsi="Trebuchet MS"/>
          <w:b/>
          <w:sz w:val="18"/>
        </w:rPr>
        <w:t>Obrázek č. 1: Programová oblast CENTRAL EUROPE 2020</w:t>
      </w:r>
    </w:p>
    <w:p w14:paraId="242FD3C0" w14:textId="7E27265B" w:rsidR="00A45378" w:rsidRPr="00093DCC" w:rsidRDefault="003E0536" w:rsidP="00712FF4">
      <w:pPr>
        <w:spacing w:before="120" w:after="120"/>
        <w:jc w:val="both"/>
        <w:rPr>
          <w:rFonts w:ascii="Trebuchet MS" w:eastAsia="Times New Roman" w:hAnsi="Trebuchet MS"/>
          <w:sz w:val="20"/>
        </w:rPr>
      </w:pPr>
      <w:r>
        <w:rPr>
          <w:rFonts w:ascii="Trebuchet MS" w:hAnsi="Trebuchet MS"/>
          <w:noProof/>
          <w:sz w:val="20"/>
          <w:lang w:bidi="ar-SA"/>
        </w:rPr>
        <w:drawing>
          <wp:inline distT="0" distB="0" distL="0" distR="0" wp14:anchorId="5B216FD9" wp14:editId="2CCCCB26">
            <wp:extent cx="5762445" cy="2642133"/>
            <wp:effectExtent l="0" t="0" r="0" b="6350"/>
            <wp:docPr id="4" name="Picture 4" descr="C:\Users\jtssch\Desktop\CE_map_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tssch\Desktop\CE_map_2014.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39690" b="18301"/>
                    <a:stretch/>
                  </pic:blipFill>
                  <pic:spPr bwMode="auto">
                    <a:xfrm>
                      <a:off x="0" y="0"/>
                      <a:ext cx="5762524" cy="2642169"/>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rebuchet MS" w:hAnsi="Trebuchet MS"/>
          <w:sz w:val="20"/>
        </w:rPr>
        <w:t xml:space="preserve"> </w:t>
      </w:r>
      <w:r>
        <w:rPr>
          <w:rFonts w:ascii="Trebuchet MS" w:hAnsi="Trebuchet MS"/>
          <w:sz w:val="20"/>
        </w:rPr>
        <w:br/>
        <w:t xml:space="preserve">Střední Evropa je vysoce heterogenní jak ze zeměpisného hlediska (zahrnuje pobřežní oblasti, pohoří, venkovské oblasti, rozsáhlé městské aglomerace atd.), tak z pohledu hospodářského a sociálního (mezi východem a západem jsou stále patrné rozdíly). Programová oblast disponuje celou řadou předností, ale také se v různých oblastech potýká s mnoha problémy ovlivňujícími regionální rozvoj, které byly předtím, než se program zaměřil na čtyři strategické priority, podrobně analyzovány. Očekávané výsledky programu přímo přispějí k dosažení cílů strategie Evropa 2020. </w:t>
      </w:r>
    </w:p>
    <w:p w14:paraId="4ADCAFCA" w14:textId="354576A0" w:rsidR="00752F98" w:rsidRPr="007A6D56" w:rsidRDefault="00837ECD" w:rsidP="00752F98">
      <w:pPr>
        <w:pStyle w:val="Nadpis1"/>
        <w:spacing w:before="120" w:after="0" w:line="240" w:lineRule="auto"/>
        <w:rPr>
          <w:rFonts w:ascii="Trebuchet MS" w:hAnsi="Trebuchet MS"/>
          <w:color w:val="C00000"/>
          <w:sz w:val="22"/>
        </w:rPr>
      </w:pPr>
      <w:bookmarkStart w:id="1" w:name="_Toc369523937"/>
      <w:r>
        <w:rPr>
          <w:rFonts w:ascii="Trebuchet MS" w:hAnsi="Trebuchet MS"/>
          <w:color w:val="C00000"/>
          <w:sz w:val="22"/>
        </w:rPr>
        <w:lastRenderedPageBreak/>
        <w:t xml:space="preserve">2. </w:t>
      </w:r>
      <w:bookmarkEnd w:id="1"/>
      <w:r>
        <w:rPr>
          <w:rFonts w:ascii="Trebuchet MS" w:hAnsi="Trebuchet MS"/>
          <w:color w:val="C00000"/>
          <w:sz w:val="22"/>
        </w:rPr>
        <w:t>CENTRAL EUROPE 2020: Strategické priority a specifické cíle</w:t>
      </w:r>
    </w:p>
    <w:p w14:paraId="0F50A556" w14:textId="35AA902F" w:rsidR="004E7E18" w:rsidRDefault="004E7E18" w:rsidP="004E7E18">
      <w:pPr>
        <w:spacing w:before="120"/>
        <w:jc w:val="both"/>
        <w:rPr>
          <w:rFonts w:ascii="Trebuchet MS" w:eastAsia="Times New Roman" w:hAnsi="Trebuchet MS"/>
          <w:sz w:val="20"/>
        </w:rPr>
      </w:pPr>
      <w:r>
        <w:rPr>
          <w:rFonts w:ascii="Trebuchet MS" w:hAnsi="Trebuchet MS"/>
          <w:sz w:val="20"/>
        </w:rPr>
        <w:t>Hlavním cílem programu CENTRAL EUROPE je „spolupráce bez hranic, aby se ve středoevropských městech a regionech dalo lépe žít a pracovat“. Přesněji řečeno, nadnárodní spolupráce by se měla stát katalyzátorem pro realizaci inteligentních řešení regionálních problémů v oblasti inovací, nízkouhlíkového hospodářství, životního prostředí, kultury a dopravy. Program bude vytvářet regionální kapacity prostřednictvím integrovaného přístupu zdola nahoru a koordinovat relevantní aktéry ze všech úrovní správy a řízení. A tak bude koordinovat ostatní úsilí vyvíjené v regionech, které mj. zahrnuje národní a regionální programy podporované ze strukturálních a investičních fondů, makroregionální strategie, program Horizont 2020 nebo Evropskou investiční banku.</w:t>
      </w:r>
    </w:p>
    <w:p w14:paraId="23E39CA0" w14:textId="78151A19" w:rsidR="006C6EB7" w:rsidRPr="00891887" w:rsidRDefault="006C6EB7" w:rsidP="006C6EB7">
      <w:pPr>
        <w:spacing w:before="120"/>
        <w:jc w:val="both"/>
        <w:rPr>
          <w:rFonts w:ascii="Trebuchet MS" w:hAnsi="Trebuchet MS"/>
          <w:sz w:val="20"/>
        </w:rPr>
      </w:pPr>
      <w:r>
        <w:rPr>
          <w:rFonts w:ascii="Trebuchet MS" w:hAnsi="Trebuchet MS"/>
          <w:sz w:val="20"/>
        </w:rPr>
        <w:t>V rámci čtyř (níže popsaných) prioritních os získají konkrétní akce podporu a bude dosaženo různých výstupů. Program se na nadnárodní úrovni zaměří na seznámení s politikami a na přístupy orientované na implementaci. Máme-li být konkrétní, tyto akce budou zahrnovat přípravu a implementaci strategií a akčních plánů, vývoj, testování a implementaci nástrojů, přípravu větších investic, implementaci pilotních akcí – včetně pilotních investic – a také opatření na budování kapacit včetně školení.</w:t>
      </w:r>
    </w:p>
    <w:p w14:paraId="6DFC6B6E" w14:textId="6B6A324A" w:rsidR="002B7496" w:rsidRPr="007A056F" w:rsidRDefault="002B7496" w:rsidP="00A35D4A">
      <w:pPr>
        <w:pStyle w:val="Nadpis5"/>
        <w:spacing w:before="360"/>
        <w:jc w:val="both"/>
        <w:rPr>
          <w:rFonts w:ascii="Trebuchet MS" w:hAnsi="Trebuchet MS"/>
          <w:b/>
          <w:i/>
          <w:sz w:val="20"/>
          <w:u w:val="single"/>
        </w:rPr>
      </w:pPr>
      <w:r>
        <w:rPr>
          <w:rFonts w:ascii="Trebuchet MS" w:hAnsi="Trebuchet MS"/>
          <w:b/>
          <w:i/>
          <w:sz w:val="20"/>
          <w:u w:val="single"/>
        </w:rPr>
        <w:t>Prioritní osa 1 – „Spolupráce v oblasti inovací s cílem zvýšit konkurenceschopnost STŘEDNÍ EVROPY“</w:t>
      </w:r>
    </w:p>
    <w:p w14:paraId="07B25BD7" w14:textId="4BE7F41D" w:rsidR="002B7496" w:rsidRDefault="00366575" w:rsidP="00712FF4">
      <w:pPr>
        <w:spacing w:before="120" w:after="120"/>
        <w:jc w:val="both"/>
        <w:rPr>
          <w:rFonts w:ascii="Trebuchet MS" w:hAnsi="Trebuchet MS"/>
          <w:sz w:val="20"/>
        </w:rPr>
      </w:pPr>
      <w:r>
        <w:rPr>
          <w:rFonts w:ascii="Trebuchet MS" w:hAnsi="Trebuchet MS"/>
          <w:sz w:val="20"/>
        </w:rPr>
        <w:t xml:space="preserve">V rámci této priority řeší program CENTRAL EUROPE zásadní společensko-ekonomické problémy a potřeby střední Evropy související s inteligentním růstem, jak je definuje strategie Evropa 2020. Zaměřuje se na efektivnější investice do výzkumu, inovací a vzdělávání. Program pomůže posilovat stávající potenciál technologicky zaměřených oblastí, do nichž plynou zahraniční investice a kapitál, a to zejména lepším provázáním jednotlivých aktérů na poli systémů inovací. Tím se zlepší předávání výsledků výzkumu a vývoje a nastavení iniciativ a klastrů spolupráce. Dále se zaměří na regionální rozdíly ve znalostech a vzdělávání, kam spadá například odliv mozků, a na posilování kapacit a kompetencí pro soukromé podnikání a sociální inovace, které mají také reagovat na problémy spojené s demografickými změnami. </w:t>
      </w:r>
    </w:p>
    <w:p w14:paraId="607A0AC4" w14:textId="7A36D0D1" w:rsidR="00E60265" w:rsidRDefault="00F9692E" w:rsidP="0021476D">
      <w:pPr>
        <w:spacing w:after="120"/>
        <w:jc w:val="both"/>
        <w:rPr>
          <w:rFonts w:ascii="Trebuchet MS" w:hAnsi="Trebuchet MS"/>
          <w:sz w:val="20"/>
        </w:rPr>
      </w:pPr>
      <w:r>
        <w:rPr>
          <w:rFonts w:ascii="Trebuchet MS" w:hAnsi="Trebuchet MS"/>
          <w:sz w:val="20"/>
        </w:rPr>
        <w:t xml:space="preserve">Finanční alokace z EFRR pro tuto prioritu činní cca 69 mil. EUR. Financované projekty budou muset řešit jeden ze dvou specifických cílů (SC) formulovaných v rámci této priority: </w:t>
      </w:r>
    </w:p>
    <w:p w14:paraId="44FBDBDE" w14:textId="77777777" w:rsidR="00F9692E" w:rsidRPr="007A056F" w:rsidRDefault="00BE0758" w:rsidP="00712FF4">
      <w:pPr>
        <w:spacing w:after="0"/>
        <w:ind w:left="1050" w:hanging="1050"/>
        <w:jc w:val="both"/>
        <w:rPr>
          <w:rFonts w:ascii="Trebuchet MS" w:hAnsi="Trebuchet MS"/>
          <w:b/>
          <w:sz w:val="20"/>
        </w:rPr>
      </w:pPr>
      <w:r>
        <w:rPr>
          <w:rFonts w:ascii="Trebuchet MS" w:hAnsi="Trebuchet MS"/>
          <w:b/>
          <w:sz w:val="20"/>
        </w:rPr>
        <w:t>SC 1.1</w:t>
      </w:r>
      <w:r>
        <w:tab/>
      </w:r>
      <w:r>
        <w:rPr>
          <w:rFonts w:ascii="Trebuchet MS" w:hAnsi="Trebuchet MS"/>
          <w:b/>
          <w:sz w:val="20"/>
        </w:rPr>
        <w:t>Zlepšit udržitelné vazby mezi aktéry systémů inovací pro posílení regionální inovační kapacity ve střední Evropě</w:t>
      </w:r>
    </w:p>
    <w:p w14:paraId="4E4D3B27" w14:textId="44E41CB9" w:rsidR="00B66019" w:rsidRPr="00133DD0" w:rsidRDefault="00B66019" w:rsidP="00712FF4">
      <w:pPr>
        <w:spacing w:after="0"/>
        <w:ind w:left="1050" w:firstLine="6"/>
        <w:jc w:val="both"/>
        <w:rPr>
          <w:rFonts w:ascii="Trebuchet MS" w:hAnsi="Trebuchet MS"/>
          <w:sz w:val="20"/>
        </w:rPr>
      </w:pPr>
      <w:r>
        <w:rPr>
          <w:rFonts w:ascii="Trebuchet MS" w:hAnsi="Trebuchet MS"/>
          <w:sz w:val="20"/>
        </w:rPr>
        <w:t>Toho se dosáhne prostřednictvím nadnárodních a mezinárodních regionálních sítí a klastrů podporujících přenos technologií a rozvojem a implementací nových služeb podporujících inovace v podnicích. Zvýšená spolupráce mezi aktéry systémů inovace, zejména mezi podniky a oblastí výzkumu, zlepší přístup k výsledkům výzkumu pro podniky, především pro MSP, čímž se podnítí další investice do inovací. Dále se posílí vazba mezi výzkumem a veřejnou správou (např. ustanovením konkrétních mechanismů a prosazováním veřejných zakázek v oblasti inovací), což by mohlo pozitivně přispět k přenosu hospodářských a sociálních inovací.</w:t>
      </w:r>
    </w:p>
    <w:p w14:paraId="122999B2" w14:textId="77777777" w:rsidR="00B66019" w:rsidRPr="00712FF4" w:rsidRDefault="00B66019" w:rsidP="00093DCC">
      <w:pPr>
        <w:spacing w:after="0"/>
        <w:ind w:left="1410" w:hanging="1050"/>
        <w:jc w:val="both"/>
        <w:rPr>
          <w:rFonts w:ascii="Trebuchet MS" w:hAnsi="Trebuchet MS"/>
          <w:sz w:val="12"/>
        </w:rPr>
      </w:pPr>
    </w:p>
    <w:p w14:paraId="0D2EA540" w14:textId="77777777" w:rsidR="0021476D" w:rsidRPr="007A056F" w:rsidRDefault="00BE0758" w:rsidP="00712FF4">
      <w:pPr>
        <w:spacing w:after="0"/>
        <w:ind w:left="1050" w:hanging="1050"/>
        <w:jc w:val="both"/>
        <w:rPr>
          <w:rFonts w:ascii="Trebuchet MS" w:hAnsi="Trebuchet MS"/>
          <w:b/>
          <w:sz w:val="20"/>
        </w:rPr>
      </w:pPr>
      <w:r>
        <w:rPr>
          <w:rFonts w:ascii="Trebuchet MS" w:hAnsi="Trebuchet MS"/>
          <w:b/>
          <w:sz w:val="20"/>
        </w:rPr>
        <w:t>SC 1.2</w:t>
      </w:r>
      <w:r>
        <w:tab/>
      </w:r>
      <w:r>
        <w:rPr>
          <w:rFonts w:ascii="Trebuchet MS" w:hAnsi="Trebuchet MS"/>
          <w:b/>
          <w:sz w:val="20"/>
        </w:rPr>
        <w:t>Zlepšit znalosti a podnikatelské dovednosti s cílem podpořit hospodářské a sociální inovace ve středoevropských regionech</w:t>
      </w:r>
    </w:p>
    <w:p w14:paraId="128D304D" w14:textId="28F40451" w:rsidR="00B66019" w:rsidRDefault="00B66019" w:rsidP="00712FF4">
      <w:pPr>
        <w:spacing w:after="0"/>
        <w:ind w:left="1050"/>
        <w:jc w:val="both"/>
        <w:rPr>
          <w:rFonts w:ascii="Trebuchet MS" w:hAnsi="Trebuchet MS"/>
          <w:sz w:val="20"/>
        </w:rPr>
      </w:pPr>
      <w:r>
        <w:rPr>
          <w:rFonts w:ascii="Trebuchet MS" w:hAnsi="Trebuchet MS"/>
          <w:sz w:val="20"/>
        </w:rPr>
        <w:t xml:space="preserve">Podnítí-li se vzájemná výměna a učení, nadnárodní spolupráce pomůže zaměstnancům a soukromým podnikatelům získat více dovedností jak používat moderní technologie a metody. To umožní podnikům (zejména MSP) rozvíjet a implementovat inovativní výrobky, služby anebo procesy přispívající k příslušným regionálním strategiím inteligentní specializace. Inovativní vzdělávací systémy společně vytvořené na nadnárodní úrovni mohou přispívat k cílenému zlepšování dovedností, a tak zvyšovat regionální konkurenceschopnost především v regionech potýkajících se se sociálními problémy. Společné postupy vytvořené na nadnárodní úrovni dále podpoří soukromé </w:t>
      </w:r>
      <w:r>
        <w:rPr>
          <w:rFonts w:ascii="Trebuchet MS" w:hAnsi="Trebuchet MS"/>
          <w:sz w:val="20"/>
        </w:rPr>
        <w:lastRenderedPageBreak/>
        <w:t>podnikání rozvojem technologických a řídících dovedností i prosazováním podnikatelského způsobu myšlení a iniciativ. Kromě čistě ekonomicky řízených inovací by zlepšení dovedností a podpora soukromého podnikání měly přispět k pokroku v sociálních inovacích. To umožní naplnění sociálních potřeb a dále to zvýší kapacitu regionů zvládat nové problémy vyplývající např. z demografických změn, migrace a odlivu mozků.</w:t>
      </w:r>
    </w:p>
    <w:p w14:paraId="5186344F" w14:textId="05FE872D" w:rsidR="00854C59" w:rsidRPr="007A056F" w:rsidRDefault="00435BC6" w:rsidP="00A35D4A">
      <w:pPr>
        <w:pStyle w:val="Nadpis5"/>
        <w:spacing w:before="360"/>
        <w:jc w:val="both"/>
        <w:rPr>
          <w:rFonts w:ascii="Trebuchet MS" w:hAnsi="Trebuchet MS"/>
          <w:b/>
          <w:i/>
          <w:sz w:val="20"/>
          <w:u w:val="single"/>
        </w:rPr>
      </w:pPr>
      <w:r>
        <w:rPr>
          <w:rFonts w:ascii="Trebuchet MS" w:hAnsi="Trebuchet MS"/>
          <w:b/>
          <w:i/>
          <w:sz w:val="20"/>
          <w:u w:val="single"/>
        </w:rPr>
        <w:t>Prioritní osa 2 – „Spolupráce v oblasti nízkouhlíkových strategií ve STŘEDNÍ EVROPĚ“</w:t>
      </w:r>
    </w:p>
    <w:p w14:paraId="24918D0C" w14:textId="2E347D6B" w:rsidR="00854C59" w:rsidRDefault="002B3450" w:rsidP="00712FF4">
      <w:pPr>
        <w:spacing w:before="120" w:after="120"/>
        <w:jc w:val="both"/>
        <w:rPr>
          <w:rFonts w:ascii="Trebuchet MS" w:hAnsi="Trebuchet MS"/>
          <w:sz w:val="20"/>
        </w:rPr>
      </w:pPr>
      <w:r>
        <w:rPr>
          <w:rFonts w:ascii="Trebuchet MS" w:hAnsi="Trebuchet MS"/>
          <w:sz w:val="20"/>
        </w:rPr>
        <w:t xml:space="preserve">Tato priorita se zaměřuje na intenzivnější využívání obnovitelných zdrojů energie, zvyšování energetické účinnosti a využívání potenciálu ekonomického růstu v nízkouhlíkovém sektoru. Program rovněž přispěje k rozšiřování znalostí a dovedností s ohledem na efektivní hospodaření s energiemi ve veřejné infrastruktuře. Podpoří vytváření a realizaci územně založených nízkouhlíkových strategií a mobility ve funkčních městských oblastech, čímž se zaměří na problémy, kterým střední Evropa čelí v oblasti výroby a spotřeby energie. To zároveň přispěje ke zmírnění klimatických změn. </w:t>
      </w:r>
    </w:p>
    <w:p w14:paraId="7EDCD0BC" w14:textId="04C06430" w:rsidR="0021476D" w:rsidRDefault="0021476D" w:rsidP="0021476D">
      <w:pPr>
        <w:spacing w:after="120"/>
        <w:jc w:val="both"/>
        <w:rPr>
          <w:rFonts w:ascii="Trebuchet MS" w:hAnsi="Trebuchet MS"/>
          <w:sz w:val="20"/>
        </w:rPr>
      </w:pPr>
      <w:r>
        <w:rPr>
          <w:rFonts w:ascii="Trebuchet MS" w:hAnsi="Trebuchet MS"/>
          <w:sz w:val="20"/>
        </w:rPr>
        <w:t xml:space="preserve">Finanční alokace z EFRR pro tuto prioritu činní cca 44 mil. EUR. Financované projekty budou muset řešit jeden ze tří specifických cílů formulovaných v rámci této priority: </w:t>
      </w:r>
    </w:p>
    <w:p w14:paraId="7840B228" w14:textId="6B49A489" w:rsidR="0021476D" w:rsidRPr="007A056F" w:rsidRDefault="00712FF4" w:rsidP="00712FF4">
      <w:pPr>
        <w:spacing w:after="0"/>
        <w:ind w:left="1050" w:hanging="1050"/>
        <w:jc w:val="both"/>
        <w:rPr>
          <w:rFonts w:ascii="Trebuchet MS" w:hAnsi="Trebuchet MS"/>
          <w:b/>
          <w:sz w:val="20"/>
        </w:rPr>
      </w:pPr>
      <w:r>
        <w:rPr>
          <w:rFonts w:ascii="Trebuchet MS" w:hAnsi="Trebuchet MS"/>
          <w:b/>
          <w:sz w:val="20"/>
        </w:rPr>
        <w:t>SC 2.1</w:t>
      </w:r>
      <w:r>
        <w:tab/>
      </w:r>
      <w:r>
        <w:tab/>
      </w:r>
      <w:r>
        <w:rPr>
          <w:rFonts w:ascii="Trebuchet MS" w:hAnsi="Trebuchet MS"/>
          <w:b/>
          <w:sz w:val="20"/>
        </w:rPr>
        <w:t>Vytvářet a realizovat řešení zaměřená na zvýšení energetické účinnosti a využívání energie z obnovitelných zdrojů ve veřejné infrastruktuře</w:t>
      </w:r>
    </w:p>
    <w:p w14:paraId="281CFE4F" w14:textId="033A0041" w:rsidR="00464F5A" w:rsidRDefault="00FB225B" w:rsidP="00712FF4">
      <w:pPr>
        <w:spacing w:after="0"/>
        <w:ind w:left="1050" w:hanging="1050"/>
        <w:jc w:val="both"/>
        <w:rPr>
          <w:rFonts w:ascii="Trebuchet MS" w:hAnsi="Trebuchet MS"/>
          <w:sz w:val="20"/>
        </w:rPr>
      </w:pPr>
      <w:r>
        <w:tab/>
      </w:r>
      <w:r>
        <w:rPr>
          <w:rFonts w:ascii="Trebuchet MS" w:hAnsi="Trebuchet MS"/>
          <w:sz w:val="20"/>
        </w:rPr>
        <w:t>Nadnárodní spolupráce pomůže snížit rozdíly v know-how a zvýšit kapacity veřejného sektoru a souvisejících subjektů na zvýšení energetické účinnosti veřejné infrastruktury a konečném důsledku na snížení jejich spotřeby energie a emisí CO2. Toho se dosáhne posílením kompetencí, jakož i rozvojem a implementací strategií, přístupů k řízení a plánů financování, které poslouží jako živná půda k dosažení vyšší energetické účinnosti. Tak budou následně maximálně využity další investice, jako je renovace veřejných budov a zvýšení úrovně energetické účinnosti veřejné infrastruktury. Využití obnovitelné energie ve veřejné infrastruktuře dále posílí identifikace potenciálů, testování inovativních řešení a příprava následných investic.</w:t>
      </w:r>
    </w:p>
    <w:p w14:paraId="6C29C80D" w14:textId="19EC9323" w:rsidR="00FB225B" w:rsidRPr="00712FF4" w:rsidRDefault="00FB225B" w:rsidP="00712FF4">
      <w:pPr>
        <w:spacing w:after="0"/>
        <w:ind w:left="1050" w:hanging="1050"/>
        <w:jc w:val="both"/>
        <w:rPr>
          <w:rFonts w:ascii="Trebuchet MS" w:hAnsi="Trebuchet MS"/>
          <w:sz w:val="12"/>
          <w:szCs w:val="12"/>
        </w:rPr>
      </w:pPr>
      <w:r>
        <w:tab/>
      </w:r>
    </w:p>
    <w:p w14:paraId="64FF9E18" w14:textId="50C5F856" w:rsidR="0021476D" w:rsidRPr="007A056F" w:rsidRDefault="00BE0758" w:rsidP="00712FF4">
      <w:pPr>
        <w:spacing w:after="0"/>
        <w:ind w:left="1050" w:hanging="1050"/>
        <w:jc w:val="both"/>
        <w:rPr>
          <w:rFonts w:ascii="Trebuchet MS" w:hAnsi="Trebuchet MS"/>
          <w:b/>
          <w:sz w:val="20"/>
        </w:rPr>
      </w:pPr>
      <w:r>
        <w:rPr>
          <w:rFonts w:ascii="Trebuchet MS" w:hAnsi="Trebuchet MS"/>
          <w:b/>
          <w:sz w:val="20"/>
        </w:rPr>
        <w:t>SC 2.2</w:t>
      </w:r>
      <w:r>
        <w:tab/>
      </w:r>
      <w:r>
        <w:rPr>
          <w:rFonts w:ascii="Trebuchet MS" w:hAnsi="Trebuchet MS"/>
          <w:b/>
          <w:sz w:val="20"/>
        </w:rPr>
        <w:t>Zlepšit územně založené strategie nízkouhlíkového energetického plánování a politiky přispívající ke zmírňování klimatických změn</w:t>
      </w:r>
    </w:p>
    <w:p w14:paraId="6406D941" w14:textId="6328610D" w:rsidR="00152E06" w:rsidRDefault="00FB225B" w:rsidP="00712FF4">
      <w:pPr>
        <w:spacing w:after="0"/>
        <w:ind w:left="1050" w:hanging="1050"/>
        <w:jc w:val="both"/>
        <w:rPr>
          <w:rFonts w:ascii="Trebuchet MS" w:hAnsi="Trebuchet MS"/>
          <w:sz w:val="20"/>
        </w:rPr>
      </w:pPr>
      <w:r>
        <w:tab/>
      </w:r>
      <w:r>
        <w:rPr>
          <w:rFonts w:ascii="Trebuchet MS" w:hAnsi="Trebuchet MS"/>
          <w:sz w:val="20"/>
        </w:rPr>
        <w:t>Nadnárodní spolupráce pomůže mezi regiony i v rámci regionů získávat nové vědomosti a sdílet stávající znalosti a zkušenosti týkající se plánování, financování a implementace konkrétních akcí zaměřených na uplatnění opatření pro využití obnovitelných zdrojů energie. Cílem je zlepšit kapacitu veřejného sektoru a souvisejících subjektů coby klíčový výchozí bod mobilizace investic do nízkouhlíkových opatření na územní úrovni. Nadnárodní spolupráce tak přispěje k odstartování aktivit zejména v regionech s nižším využitím potenciálu obnovitelných zdrojů energie. Dále podpoří přístup k vytváření vazeb mezi nabídkou a poptávkou, přičemž se vezme v úvahu kvalita i kapacita rozvodných sítí elektrické energie. Toho se dosáhne posílením znalostí a plánovací kapacity veřejného sektoru i souvisejících subjektů spolupracujících na přechodu k „energeticky udržitelným regionům“. Program je podpoří v přípravě a implementaci inovativních místních a regionálních strategií energetického plánování vedoucích ke zvýšenému a vyváženému využití potenciálu endogenních obnovitelných zdrojů energie a snížení emisí CO2. V mnoha případech to bude mít také potenciálně příznivý dopad na kvalitu ovzduší.</w:t>
      </w:r>
    </w:p>
    <w:p w14:paraId="224E5714" w14:textId="77777777" w:rsidR="007B4509" w:rsidRDefault="007B4509" w:rsidP="00712FF4">
      <w:pPr>
        <w:spacing w:after="0"/>
        <w:ind w:left="1050" w:hanging="1050"/>
        <w:jc w:val="both"/>
        <w:rPr>
          <w:rFonts w:ascii="Trebuchet MS" w:hAnsi="Trebuchet MS"/>
          <w:sz w:val="20"/>
        </w:rPr>
      </w:pPr>
    </w:p>
    <w:p w14:paraId="326F601A" w14:textId="77777777" w:rsidR="007B4509" w:rsidRDefault="007B4509" w:rsidP="00712FF4">
      <w:pPr>
        <w:spacing w:after="0"/>
        <w:ind w:left="1050" w:hanging="1050"/>
        <w:jc w:val="both"/>
        <w:rPr>
          <w:rFonts w:ascii="Trebuchet MS" w:hAnsi="Trebuchet MS"/>
          <w:sz w:val="20"/>
        </w:rPr>
      </w:pPr>
    </w:p>
    <w:p w14:paraId="75C68402" w14:textId="77777777" w:rsidR="007B4509" w:rsidRDefault="007B4509" w:rsidP="00712FF4">
      <w:pPr>
        <w:spacing w:after="0"/>
        <w:ind w:left="1050" w:hanging="1050"/>
        <w:jc w:val="both"/>
        <w:rPr>
          <w:rFonts w:ascii="Trebuchet MS" w:hAnsi="Trebuchet MS"/>
          <w:sz w:val="20"/>
        </w:rPr>
      </w:pPr>
    </w:p>
    <w:p w14:paraId="3D60D869" w14:textId="77777777" w:rsidR="0021476D" w:rsidRPr="007A056F" w:rsidRDefault="00BE0758" w:rsidP="00712FF4">
      <w:pPr>
        <w:spacing w:after="0"/>
        <w:ind w:left="1056" w:hanging="1050"/>
        <w:jc w:val="both"/>
        <w:rPr>
          <w:rFonts w:ascii="Trebuchet MS" w:hAnsi="Trebuchet MS"/>
          <w:b/>
          <w:sz w:val="20"/>
        </w:rPr>
      </w:pPr>
      <w:r>
        <w:rPr>
          <w:rFonts w:ascii="Trebuchet MS" w:hAnsi="Trebuchet MS"/>
          <w:b/>
          <w:sz w:val="20"/>
        </w:rPr>
        <w:t>SC 2.3</w:t>
      </w:r>
      <w:r>
        <w:tab/>
      </w:r>
      <w:r>
        <w:rPr>
          <w:rFonts w:ascii="Trebuchet MS" w:hAnsi="Trebuchet MS"/>
          <w:b/>
          <w:sz w:val="20"/>
        </w:rPr>
        <w:t>Zvýšit kapacity pro plánování mobility ve funkčních městských oblastech s cílem snížit emise CO2</w:t>
      </w:r>
    </w:p>
    <w:p w14:paraId="53477D6C" w14:textId="4A56A84B" w:rsidR="00FB225B" w:rsidRDefault="00FB225B" w:rsidP="00712FF4">
      <w:pPr>
        <w:spacing w:after="0"/>
        <w:ind w:left="1056" w:hanging="1050"/>
        <w:jc w:val="both"/>
        <w:rPr>
          <w:rFonts w:ascii="Trebuchet MS" w:hAnsi="Trebuchet MS"/>
          <w:sz w:val="20"/>
        </w:rPr>
      </w:pPr>
      <w:r>
        <w:tab/>
      </w:r>
      <w:r>
        <w:rPr>
          <w:rFonts w:ascii="Trebuchet MS" w:hAnsi="Trebuchet MS"/>
          <w:sz w:val="20"/>
        </w:rPr>
        <w:t xml:space="preserve">Nadnárodní spolupráce může přispět ke zvýšení plánovací kapacity veřejného sektoru a souvisejících subjektů v oblasti nízkouhlíkové mobility spojením regionů na špici </w:t>
      </w:r>
      <w:r>
        <w:rPr>
          <w:rFonts w:ascii="Trebuchet MS" w:hAnsi="Trebuchet MS"/>
          <w:sz w:val="20"/>
        </w:rPr>
        <w:lastRenderedPageBreak/>
        <w:t>s regiony, které zaostávají, čímž se zvýší nízkouhlíková mobilita ve středoevropských funkčních městských oblastech a sníží znečištění ovzduší. Umožní to rozvoj a implementaci integrovaných konceptů mobility, nastavení koordinovaných řídících struktur a nasazení inovativních technologií. Prosazování inovativních řešení nízkouhlíkové mobility na nadnárodní úrovni podpoří orgány v jejich úsilí o dosažení cíle udržitelné mobility.</w:t>
      </w:r>
    </w:p>
    <w:p w14:paraId="475AF7E1" w14:textId="79832AD8" w:rsidR="00854C59" w:rsidRPr="007A056F" w:rsidRDefault="00854C59" w:rsidP="00A35D4A">
      <w:pPr>
        <w:pStyle w:val="Nadpis5"/>
        <w:spacing w:before="360"/>
        <w:jc w:val="both"/>
        <w:rPr>
          <w:rFonts w:ascii="Trebuchet MS" w:hAnsi="Trebuchet MS"/>
          <w:b/>
          <w:i/>
          <w:sz w:val="20"/>
          <w:u w:val="single"/>
        </w:rPr>
      </w:pPr>
      <w:r>
        <w:rPr>
          <w:rFonts w:ascii="Trebuchet MS" w:hAnsi="Trebuchet MS"/>
          <w:b/>
          <w:i/>
          <w:sz w:val="20"/>
          <w:u w:val="single"/>
        </w:rPr>
        <w:t>Prioritní osa 3 – „Spolupráce v oblasti přírodních a kulturních zdrojů pro udržitelný růst ve STŘEDNÍ EVROPĚ“</w:t>
      </w:r>
    </w:p>
    <w:p w14:paraId="07E45460" w14:textId="52F816BC" w:rsidR="00854C59" w:rsidRDefault="00C67F52" w:rsidP="00712FF4">
      <w:pPr>
        <w:spacing w:before="120" w:after="120"/>
        <w:jc w:val="both"/>
        <w:rPr>
          <w:rFonts w:ascii="Trebuchet MS" w:hAnsi="Trebuchet MS" w:cs="Arial"/>
          <w:sz w:val="20"/>
        </w:rPr>
      </w:pPr>
      <w:r>
        <w:rPr>
          <w:rFonts w:ascii="Trebuchet MS" w:hAnsi="Trebuchet MS"/>
          <w:sz w:val="20"/>
        </w:rPr>
        <w:t xml:space="preserve">Tato priorita reaguje na potřebu ochrany a udržitelnějšího způsobu využívání přírodního a kulturního dědictví a zdrojů, které jsou vystaveny vzrůstajícím ekologickým a ekonomickým tlakům a sporům. Dědictví a zdroje představují rovněž cenná aktiva středoevropských regionů a jsou významným faktorem pozitivně ovlivňujícím regionální rozvoj v lokalitách. Kromě toho se program dále zaměřuje na zlepšování kvality životního prostředí ve funkčních městských oblastech. Za tímto účelem se budou řešit hlavní problémy, jako jsou střety ohledně způsobů využívání půdy, znečištění ovzduší, půdy a vod, jakož i odpadové hospodářství. Zlepšení této situace bude mít přímý vliv na kvalitu života městských obyvatel. </w:t>
      </w:r>
    </w:p>
    <w:p w14:paraId="5D858DFC" w14:textId="43ABA103" w:rsidR="009E06CD" w:rsidRDefault="00CD2EAA" w:rsidP="009E06CD">
      <w:pPr>
        <w:spacing w:after="120"/>
        <w:jc w:val="both"/>
        <w:rPr>
          <w:rFonts w:ascii="Trebuchet MS" w:hAnsi="Trebuchet MS"/>
          <w:sz w:val="20"/>
        </w:rPr>
      </w:pPr>
      <w:r>
        <w:rPr>
          <w:rFonts w:ascii="Trebuchet MS" w:hAnsi="Trebuchet MS"/>
          <w:sz w:val="20"/>
        </w:rPr>
        <w:t>Finanční alokace z EFRR pro tuto prioritu činní cca 88 mil. EUR. Financované projekty budou muset řešit jeden ze tří specifických cílů formulovaných v rámci této priority:</w:t>
      </w:r>
    </w:p>
    <w:p w14:paraId="67A4F5B4" w14:textId="77777777" w:rsidR="009E06CD" w:rsidRPr="007A056F" w:rsidRDefault="00BD3BB6" w:rsidP="00712FF4">
      <w:pPr>
        <w:spacing w:after="0"/>
        <w:ind w:left="1050" w:hanging="1050"/>
        <w:jc w:val="both"/>
        <w:rPr>
          <w:rFonts w:ascii="Trebuchet MS" w:hAnsi="Trebuchet MS"/>
          <w:b/>
          <w:sz w:val="20"/>
        </w:rPr>
      </w:pPr>
      <w:r>
        <w:rPr>
          <w:rFonts w:ascii="Trebuchet MS" w:hAnsi="Trebuchet MS"/>
          <w:b/>
          <w:sz w:val="20"/>
        </w:rPr>
        <w:t>SC 3.1</w:t>
      </w:r>
      <w:r>
        <w:tab/>
      </w:r>
      <w:r>
        <w:rPr>
          <w:rFonts w:ascii="Trebuchet MS" w:hAnsi="Trebuchet MS"/>
          <w:b/>
          <w:sz w:val="20"/>
        </w:rPr>
        <w:t xml:space="preserve">Rozvíjet kapacity pro integrované řízení ochrany životního prostředí s cílem zajistit ochranu a udržitelné využívání přírodního dědictví a zdrojů </w:t>
      </w:r>
    </w:p>
    <w:p w14:paraId="0C200CFA" w14:textId="126589A9" w:rsidR="00023B0C" w:rsidRDefault="00023B0C" w:rsidP="00712FF4">
      <w:pPr>
        <w:spacing w:after="0"/>
        <w:ind w:left="1050"/>
        <w:jc w:val="both"/>
        <w:rPr>
          <w:rFonts w:ascii="Trebuchet MS" w:hAnsi="Trebuchet MS"/>
          <w:sz w:val="20"/>
        </w:rPr>
      </w:pPr>
      <w:r>
        <w:rPr>
          <w:rFonts w:ascii="Trebuchet MS" w:hAnsi="Trebuchet MS"/>
          <w:sz w:val="20"/>
        </w:rPr>
        <w:t>Nadnárodní spolupráce umožní zvýšení kapacit veřejného sektoru a souvisejících subjektů zabývajících se ochranou a udržitelným využíváním přírodních zdrojů tím, že podpoří přípravu a implementaci integrovaných strategií a nástrojů v oblasti životního prostředí, jakož i společné testování pilotních řešení. To přispěje k větší akceptaci integrované koncepce ochrany životního prostředí ze strany veřejného a soukromého sektoru, např. používání inovativních technologií a zavádění řešení založených na efektivním využívání zdrojů.</w:t>
      </w:r>
    </w:p>
    <w:p w14:paraId="522CBDE5" w14:textId="77777777" w:rsidR="000C00E4" w:rsidRPr="00712FF4" w:rsidRDefault="000C00E4" w:rsidP="00712FF4">
      <w:pPr>
        <w:spacing w:after="0"/>
        <w:ind w:firstLine="360"/>
        <w:jc w:val="both"/>
        <w:rPr>
          <w:rFonts w:ascii="Trebuchet MS" w:hAnsi="Trebuchet MS"/>
          <w:sz w:val="12"/>
          <w:szCs w:val="12"/>
        </w:rPr>
      </w:pPr>
    </w:p>
    <w:p w14:paraId="3E72EF94" w14:textId="401EAE09" w:rsidR="009E06CD" w:rsidRPr="007A056F" w:rsidRDefault="00BD3BB6" w:rsidP="00712FF4">
      <w:pPr>
        <w:spacing w:after="0"/>
        <w:ind w:left="1050" w:hanging="1050"/>
        <w:jc w:val="both"/>
        <w:rPr>
          <w:rFonts w:ascii="Trebuchet MS" w:hAnsi="Trebuchet MS"/>
          <w:b/>
          <w:sz w:val="20"/>
        </w:rPr>
      </w:pPr>
      <w:r>
        <w:rPr>
          <w:rFonts w:ascii="Trebuchet MS" w:hAnsi="Trebuchet MS"/>
          <w:b/>
          <w:sz w:val="20"/>
        </w:rPr>
        <w:t>SC 3.2</w:t>
      </w:r>
      <w:r>
        <w:tab/>
      </w:r>
      <w:r>
        <w:rPr>
          <w:rFonts w:ascii="Trebuchet MS" w:hAnsi="Trebuchet MS"/>
          <w:b/>
          <w:sz w:val="20"/>
        </w:rPr>
        <w:t>Rozvíjet kapacity pro udržitelné využívání kulturního dědictví a zdrojů</w:t>
      </w:r>
    </w:p>
    <w:p w14:paraId="5A36C99B" w14:textId="55CAA02B" w:rsidR="00023B0C" w:rsidRDefault="00023B0C" w:rsidP="00712FF4">
      <w:pPr>
        <w:spacing w:after="0"/>
        <w:ind w:left="1050"/>
        <w:jc w:val="both"/>
        <w:rPr>
          <w:rFonts w:ascii="Trebuchet MS" w:hAnsi="Trebuchet MS"/>
          <w:b/>
          <w:sz w:val="20"/>
        </w:rPr>
      </w:pPr>
      <w:r>
        <w:rPr>
          <w:rFonts w:ascii="Trebuchet MS" w:hAnsi="Trebuchet MS"/>
          <w:sz w:val="20"/>
        </w:rPr>
        <w:t>Nadnárodní spolupráce přispěje ke zvýšení kapacit veřejného a soukromého sektoru k</w:t>
      </w:r>
      <w:r w:rsidR="0059439D">
        <w:rPr>
          <w:rFonts w:ascii="Trebuchet MS" w:hAnsi="Trebuchet MS"/>
          <w:sz w:val="20"/>
        </w:rPr>
        <w:t> </w:t>
      </w:r>
      <w:r>
        <w:rPr>
          <w:rFonts w:ascii="Trebuchet MS" w:hAnsi="Trebuchet MS"/>
          <w:sz w:val="20"/>
        </w:rPr>
        <w:t>ochraně a udržitelnému využívání kulturního dědictví a zdrojů tím, že podpoří integrované přístupy. To umožní koordinaci ochrany a správy kulturního dědictví a zdrojů s udržitelným růstem. Příprava a implementace strategií a politik zaměřených na zhodnocování kulturního dědictví a maximální využití potenciálu kulturních a kreativních odvětví přispěje k vytváření ekonomických příležitostí a zaměstnanosti na regionální úrovni.</w:t>
      </w:r>
    </w:p>
    <w:p w14:paraId="719F1BD3" w14:textId="77777777" w:rsidR="00712FF4" w:rsidRPr="00712FF4" w:rsidRDefault="00712FF4" w:rsidP="00712FF4">
      <w:pPr>
        <w:spacing w:after="0"/>
        <w:ind w:left="1050" w:hanging="1050"/>
        <w:jc w:val="both"/>
        <w:rPr>
          <w:rFonts w:ascii="Trebuchet MS" w:hAnsi="Trebuchet MS"/>
          <w:b/>
          <w:sz w:val="12"/>
          <w:szCs w:val="12"/>
        </w:rPr>
      </w:pPr>
    </w:p>
    <w:p w14:paraId="5A5DDDE6" w14:textId="3AF589F8" w:rsidR="009E06CD" w:rsidRPr="00D40517" w:rsidRDefault="00BD3BB6" w:rsidP="00712FF4">
      <w:pPr>
        <w:spacing w:after="0"/>
        <w:ind w:left="1050" w:hanging="1050"/>
        <w:jc w:val="both"/>
        <w:rPr>
          <w:rFonts w:ascii="Trebuchet MS" w:hAnsi="Trebuchet MS"/>
          <w:b/>
          <w:sz w:val="20"/>
        </w:rPr>
      </w:pPr>
      <w:r>
        <w:rPr>
          <w:rFonts w:ascii="Trebuchet MS" w:hAnsi="Trebuchet MS"/>
          <w:b/>
          <w:sz w:val="20"/>
        </w:rPr>
        <w:t>SC 3.3</w:t>
      </w:r>
      <w:r>
        <w:tab/>
      </w:r>
      <w:r>
        <w:rPr>
          <w:rFonts w:ascii="Trebuchet MS" w:hAnsi="Trebuchet MS"/>
          <w:b/>
          <w:sz w:val="20"/>
        </w:rPr>
        <w:t>Zlepšit řízení životního prostředí funkčních městských oblastí s cílem vytvořit z nich místa, kde se bude lépe žít</w:t>
      </w:r>
    </w:p>
    <w:p w14:paraId="174D42FD" w14:textId="4FFCCEC3" w:rsidR="00023B0C" w:rsidRPr="00712FF4" w:rsidRDefault="00023B0C" w:rsidP="00712FF4">
      <w:pPr>
        <w:spacing w:after="0"/>
        <w:ind w:left="1050"/>
        <w:jc w:val="both"/>
        <w:rPr>
          <w:rFonts w:ascii="Trebuchet MS" w:hAnsi="Trebuchet MS"/>
          <w:sz w:val="20"/>
        </w:rPr>
      </w:pPr>
      <w:r>
        <w:rPr>
          <w:rFonts w:ascii="Trebuchet MS" w:hAnsi="Trebuchet MS"/>
          <w:sz w:val="20"/>
        </w:rPr>
        <w:t>Nadnárodní spolupráce přispěje ke zvýšení kapacit veřejného sektoru a souvisejících subjektů pro účely integrovaného řízení ochrany životního prostředí zajišťujícího naplňování politiky v oblasti životního prostředí a podpoří přípravu a implementaci integrovaného řízení v oblasti ochrany životního prostředí s cílem omezit dopady funkčních městských oblastí na životní prostředí. Lepší správa a řízení přispějí k lepšímu plánování, řízení a rozhodování a tím omezí střety ohledně využívání zdrojů a negativní vedlejší ekonomické vlivy na životní prostředí. Příprava a implementace strategií a nástrojů, jakož i společné testování pilotních aplikací (např. pro obnovu památek) zajistí investice do zlepšení kvality městského prostředí.</w:t>
      </w:r>
    </w:p>
    <w:p w14:paraId="5E16B84A" w14:textId="466EF6DC" w:rsidR="00854C59" w:rsidRPr="007A056F" w:rsidRDefault="00435BC6" w:rsidP="00A35D4A">
      <w:pPr>
        <w:pStyle w:val="Nadpis5"/>
        <w:spacing w:before="360"/>
        <w:jc w:val="both"/>
        <w:rPr>
          <w:rFonts w:ascii="Trebuchet MS" w:hAnsi="Trebuchet MS"/>
          <w:b/>
          <w:i/>
          <w:sz w:val="20"/>
          <w:u w:val="single"/>
        </w:rPr>
      </w:pPr>
      <w:r>
        <w:rPr>
          <w:rFonts w:ascii="Trebuchet MS" w:hAnsi="Trebuchet MS"/>
          <w:b/>
          <w:i/>
          <w:sz w:val="20"/>
          <w:u w:val="single"/>
        </w:rPr>
        <w:lastRenderedPageBreak/>
        <w:t>Prioritní osa 4 – „Spolupráce v oblasti dopravy s cílem zajistit lepší spojení ve STŘEDNÍ EVROPĚ“</w:t>
      </w:r>
    </w:p>
    <w:p w14:paraId="28A8D2C4" w14:textId="2A013515" w:rsidR="00854C59" w:rsidRPr="00133DD0" w:rsidRDefault="00CD2EAA" w:rsidP="00712FF4">
      <w:pPr>
        <w:spacing w:before="120" w:after="120"/>
        <w:jc w:val="both"/>
        <w:rPr>
          <w:rFonts w:ascii="Trebuchet MS" w:hAnsi="Trebuchet MS"/>
          <w:i/>
          <w:sz w:val="20"/>
        </w:rPr>
      </w:pPr>
      <w:r>
        <w:rPr>
          <w:rFonts w:ascii="Trebuchet MS" w:hAnsi="Trebuchet MS"/>
          <w:sz w:val="20"/>
        </w:rPr>
        <w:t xml:space="preserve">Tato priorita řeší dichotomii mezi centrálními oblastmi a periferiemi v oblasti STŘEDNÍ EVROPY. Program toho dosáhne překlenutím propasti mezi periferními, špatně dostupnými regiony a dobře propojenými centry. Zlepší konektivitu regionů a měst na evropské dopravní sítě a v rámci střední Evropy zlepší osobní i nákladní ekologickou multimodální dopravu. </w:t>
      </w:r>
    </w:p>
    <w:p w14:paraId="6FAA618C" w14:textId="3ECAEF07" w:rsidR="00620228" w:rsidRDefault="00620228" w:rsidP="00620228">
      <w:pPr>
        <w:spacing w:after="120"/>
        <w:jc w:val="both"/>
        <w:rPr>
          <w:rFonts w:ascii="Trebuchet MS" w:hAnsi="Trebuchet MS"/>
          <w:sz w:val="20"/>
        </w:rPr>
      </w:pPr>
      <w:r>
        <w:rPr>
          <w:rFonts w:ascii="Trebuchet MS" w:hAnsi="Trebuchet MS"/>
          <w:sz w:val="20"/>
        </w:rPr>
        <w:t>Finanční alokace z EFRR pro tuto prioritu činní cca 29 mil. EUR. Financované projekty budou muset řešit jeden ze dvou specifických cílů formulovaných v rámci této priority:</w:t>
      </w:r>
    </w:p>
    <w:p w14:paraId="766D2879" w14:textId="77777777" w:rsidR="00620228" w:rsidRPr="007A056F" w:rsidRDefault="00B10AE8" w:rsidP="00712FF4">
      <w:pPr>
        <w:spacing w:after="0"/>
        <w:ind w:left="1050" w:hanging="1050"/>
        <w:jc w:val="both"/>
        <w:rPr>
          <w:rFonts w:ascii="Trebuchet MS" w:hAnsi="Trebuchet MS"/>
          <w:b/>
          <w:sz w:val="20"/>
        </w:rPr>
      </w:pPr>
      <w:r>
        <w:rPr>
          <w:rFonts w:ascii="Trebuchet MS" w:hAnsi="Trebuchet MS"/>
          <w:b/>
          <w:sz w:val="20"/>
        </w:rPr>
        <w:t xml:space="preserve">SC 4.1 </w:t>
      </w:r>
      <w:r>
        <w:tab/>
      </w:r>
      <w:r>
        <w:rPr>
          <w:rFonts w:ascii="Trebuchet MS" w:hAnsi="Trebuchet MS"/>
          <w:b/>
          <w:sz w:val="20"/>
        </w:rPr>
        <w:t>Zlepšit plánování a koordinaci systémů regionální osobní dopravy s cílem zajistit lepší napojení na vnitrostátní a evropské dopravní sítě</w:t>
      </w:r>
    </w:p>
    <w:p w14:paraId="03BF501D" w14:textId="16F2A15A" w:rsidR="00023B0C" w:rsidRDefault="00395416" w:rsidP="00712FF4">
      <w:pPr>
        <w:spacing w:after="0"/>
        <w:ind w:left="1050"/>
        <w:jc w:val="both"/>
        <w:rPr>
          <w:rFonts w:ascii="Trebuchet MS" w:hAnsi="Trebuchet MS"/>
          <w:sz w:val="20"/>
        </w:rPr>
      </w:pPr>
      <w:r>
        <w:rPr>
          <w:rFonts w:ascii="Trebuchet MS" w:hAnsi="Trebuchet MS"/>
          <w:sz w:val="20"/>
        </w:rPr>
        <w:t>Nadnárodní spolupráce sníží stávající rozdíly ve know-how a rovněž zvýší kapacitu pro plánování a implementaci v oblasti integrovaných systémů osobní dopravy, kde je za klíčový faktor považována lepší regionální a nadnárodní koordinace mezi zúčastněnými stranami. Nadnárodní spolupráce může posílit napojení na koridory a primární, sekundární a terciární dopravní uzly sítě TEN-T, a to zejména v periferních regionech. Zvláštní pozornost bude věnována veřejné dopravě na regionální úrovni, jelikož udržitelnost těchto spojů je považována za zásadní. Strategie, nástroje a pilotní aplikace přispějí k vybudování lepšího napojení na síť TEN-T a její dopravní uzly. V</w:t>
      </w:r>
      <w:r w:rsidR="0059439D">
        <w:rPr>
          <w:rFonts w:ascii="Trebuchet MS" w:hAnsi="Trebuchet MS"/>
          <w:sz w:val="20"/>
        </w:rPr>
        <w:t> </w:t>
      </w:r>
      <w:r>
        <w:rPr>
          <w:rFonts w:ascii="Trebuchet MS" w:hAnsi="Trebuchet MS"/>
          <w:sz w:val="20"/>
        </w:rPr>
        <w:t>nadnárodním kontextu se dále předpokládá rozvoj koordinovaných koncepcí pro inteligentní regionální mobilitu a služby, což přispěje ke zvýšení standardů služeb a k</w:t>
      </w:r>
      <w:r w:rsidR="0059439D">
        <w:rPr>
          <w:rFonts w:ascii="Trebuchet MS" w:hAnsi="Trebuchet MS"/>
          <w:sz w:val="20"/>
        </w:rPr>
        <w:t> </w:t>
      </w:r>
      <w:r>
        <w:rPr>
          <w:rFonts w:ascii="Trebuchet MS" w:hAnsi="Trebuchet MS"/>
          <w:sz w:val="20"/>
        </w:rPr>
        <w:t>větší interoperabilitě. Zvláštní pozornost bude věnována dopravním službám ve veřejném zájmu.</w:t>
      </w:r>
    </w:p>
    <w:p w14:paraId="7D67C823" w14:textId="77777777" w:rsidR="00023B0C" w:rsidRPr="00712FF4" w:rsidRDefault="00023B0C" w:rsidP="00712FF4">
      <w:pPr>
        <w:spacing w:after="0"/>
        <w:ind w:left="1050" w:hanging="1050"/>
        <w:jc w:val="both"/>
        <w:rPr>
          <w:rFonts w:ascii="Trebuchet MS" w:hAnsi="Trebuchet MS"/>
          <w:sz w:val="12"/>
          <w:szCs w:val="12"/>
        </w:rPr>
      </w:pPr>
    </w:p>
    <w:p w14:paraId="54B6AA75" w14:textId="77777777" w:rsidR="00366575" w:rsidRPr="007A056F" w:rsidRDefault="00B10AE8" w:rsidP="00712FF4">
      <w:pPr>
        <w:spacing w:after="0"/>
        <w:ind w:left="1050" w:hanging="1050"/>
        <w:jc w:val="both"/>
        <w:rPr>
          <w:rFonts w:ascii="Trebuchet MS" w:hAnsi="Trebuchet MS"/>
          <w:b/>
          <w:sz w:val="20"/>
        </w:rPr>
      </w:pPr>
      <w:r>
        <w:rPr>
          <w:rFonts w:ascii="Trebuchet MS" w:hAnsi="Trebuchet MS"/>
          <w:b/>
          <w:sz w:val="20"/>
        </w:rPr>
        <w:t>SC 4.2</w:t>
      </w:r>
      <w:r>
        <w:tab/>
      </w:r>
      <w:r>
        <w:rPr>
          <w:rFonts w:ascii="Trebuchet MS" w:hAnsi="Trebuchet MS"/>
          <w:b/>
          <w:sz w:val="20"/>
        </w:rPr>
        <w:t>Zlepšit koordinaci mezi subjekty působícími v oblasti nákladní dopravy s cílem zvýšit využití ekologických multimodálních dopravních řešení</w:t>
      </w:r>
    </w:p>
    <w:p w14:paraId="76842B4F" w14:textId="6CA380E2" w:rsidR="00444017" w:rsidRPr="007A056F" w:rsidRDefault="00444017" w:rsidP="00712FF4">
      <w:pPr>
        <w:spacing w:after="0"/>
        <w:ind w:left="1050"/>
        <w:jc w:val="both"/>
        <w:rPr>
          <w:rFonts w:ascii="Trebuchet MS" w:hAnsi="Trebuchet MS"/>
          <w:sz w:val="20"/>
        </w:rPr>
      </w:pPr>
      <w:r>
        <w:rPr>
          <w:rFonts w:ascii="Trebuchet MS" w:hAnsi="Trebuchet MS"/>
          <w:sz w:val="20"/>
        </w:rPr>
        <w:t>Nadnárodní spolupráce zlepší koordinaci mezi stávajícími službami poskytovanými různými druhy dopravy, vytvoří intermodální systémy stávajících dopravních zařízení a odstraní problém přeshraniční diskontinuity a chybějící infrastruktury. Koordinované strategie, koncepce a řídící nástroje přispějí ke zlepšení multimodality ekologické nákladní dopravy (např. železniční, říční či námořní doprava). Z hlediska potenciálu pro konsolidaci a optimalizaci toků nákladní dopravy se budou podporovat a rozvíjet multimodální platformy. Tím se zvýší efektivita, spolehlivost a kvalita ekologičtějších druhů nákladní dopravy a služeb. Takový koordinovaný přístup připraví podmínky pro udržitelné vytváření budoucí infrastruktury a efektivnější přepravu zboží do středoevropských regionů a napříč jimi.</w:t>
      </w:r>
    </w:p>
    <w:p w14:paraId="51DF0D5D" w14:textId="1EE1DAD0" w:rsidR="008410F5" w:rsidRDefault="008410F5" w:rsidP="00402063">
      <w:pPr>
        <w:autoSpaceDE w:val="0"/>
        <w:autoSpaceDN w:val="0"/>
        <w:spacing w:after="0" w:line="240" w:lineRule="auto"/>
        <w:rPr>
          <w:rFonts w:ascii="Trebuchet MS" w:eastAsia="Times New Roman" w:hAnsi="Trebuchet MS"/>
          <w:noProof/>
          <w:sz w:val="20"/>
          <w:szCs w:val="18"/>
        </w:rPr>
      </w:pPr>
    </w:p>
    <w:p w14:paraId="6C248E2D" w14:textId="1B39A0FA" w:rsidR="00402063" w:rsidRPr="007F73C8" w:rsidRDefault="00402063" w:rsidP="00402063">
      <w:pPr>
        <w:autoSpaceDE w:val="0"/>
        <w:autoSpaceDN w:val="0"/>
        <w:spacing w:before="120" w:line="240" w:lineRule="auto"/>
        <w:jc w:val="both"/>
        <w:rPr>
          <w:rFonts w:ascii="Trebuchet MS" w:hAnsi="Trebuchet MS"/>
          <w:sz w:val="20"/>
        </w:rPr>
      </w:pPr>
      <w:r>
        <w:rPr>
          <w:rFonts w:ascii="Trebuchet MS" w:hAnsi="Trebuchet MS"/>
          <w:sz w:val="20"/>
        </w:rPr>
        <w:t>Celkový rozpočet programu je přibližně 246 mil. EUR poskytovaných z prostředků EFRR. Míra spolufinancování dosahuje až 80 % v případě partnerů z Itálie, Německa a Rakouska a až 85 % v</w:t>
      </w:r>
      <w:r w:rsidR="0059439D">
        <w:rPr>
          <w:rFonts w:ascii="Trebuchet MS" w:hAnsi="Trebuchet MS"/>
          <w:sz w:val="20"/>
        </w:rPr>
        <w:t> </w:t>
      </w:r>
      <w:bookmarkStart w:id="2" w:name="_GoBack"/>
      <w:bookmarkEnd w:id="2"/>
      <w:r>
        <w:rPr>
          <w:rFonts w:ascii="Trebuchet MS" w:hAnsi="Trebuchet MS"/>
          <w:sz w:val="20"/>
        </w:rPr>
        <w:t>případě partnerů z České republiky, Chorvatska, Maďarska, Polska, Slovenska a Slovinska.</w:t>
      </w:r>
    </w:p>
    <w:p w14:paraId="7BAC5FE1" w14:textId="77777777" w:rsidR="00A8276A" w:rsidRPr="00093DCC" w:rsidRDefault="00A8276A" w:rsidP="00402063">
      <w:pPr>
        <w:autoSpaceDE w:val="0"/>
        <w:autoSpaceDN w:val="0"/>
        <w:spacing w:after="0" w:line="240" w:lineRule="auto"/>
        <w:rPr>
          <w:rFonts w:ascii="Trebuchet MS" w:eastAsia="Times New Roman" w:hAnsi="Trebuchet MS"/>
          <w:noProof/>
          <w:sz w:val="20"/>
          <w:szCs w:val="18"/>
        </w:rPr>
      </w:pPr>
    </w:p>
    <w:p w14:paraId="75109847" w14:textId="5859A005" w:rsidR="005B2C9D" w:rsidRDefault="005B2C9D" w:rsidP="008E0CE3">
      <w:pPr>
        <w:autoSpaceDE w:val="0"/>
        <w:autoSpaceDN w:val="0"/>
        <w:spacing w:after="40"/>
        <w:rPr>
          <w:rFonts w:ascii="Trebuchet MS" w:eastAsia="Times New Roman" w:hAnsi="Trebuchet MS"/>
          <w:b/>
          <w:noProof/>
          <w:sz w:val="20"/>
          <w:szCs w:val="18"/>
          <w:u w:val="single"/>
        </w:rPr>
      </w:pPr>
      <w:r>
        <w:rPr>
          <w:rFonts w:ascii="Trebuchet MS" w:hAnsi="Trebuchet MS"/>
          <w:b/>
          <w:noProof/>
          <w:sz w:val="20"/>
          <w:u w:val="single"/>
        </w:rPr>
        <w:t>Další informace lze získat na následující adrese</w:t>
      </w:r>
      <w:bookmarkStart w:id="3" w:name="_MailAutoSig"/>
      <w:r>
        <w:rPr>
          <w:rFonts w:ascii="Trebuchet MS" w:hAnsi="Trebuchet MS"/>
          <w:b/>
          <w:noProof/>
          <w:sz w:val="20"/>
          <w:u w:val="single"/>
        </w:rPr>
        <w:t>:</w:t>
      </w:r>
    </w:p>
    <w:p w14:paraId="0318C6FB" w14:textId="77777777" w:rsidR="005B2C9D" w:rsidRPr="00712FF4" w:rsidRDefault="005B2C9D" w:rsidP="00712FF4">
      <w:pPr>
        <w:autoSpaceDE w:val="0"/>
        <w:autoSpaceDN w:val="0"/>
        <w:spacing w:after="40" w:line="240" w:lineRule="auto"/>
        <w:rPr>
          <w:rFonts w:ascii="Trebuchet MS" w:eastAsia="Times New Roman" w:hAnsi="Trebuchet MS"/>
          <w:noProof/>
          <w:sz w:val="18"/>
          <w:szCs w:val="18"/>
        </w:rPr>
      </w:pPr>
      <w:r>
        <w:rPr>
          <w:rFonts w:ascii="Trebuchet MS" w:hAnsi="Trebuchet MS"/>
          <w:noProof/>
          <w:sz w:val="18"/>
        </w:rPr>
        <w:t xml:space="preserve">Společný sekretariát </w:t>
      </w:r>
    </w:p>
    <w:p w14:paraId="68963331" w14:textId="77777777" w:rsidR="005B2C9D" w:rsidRPr="00712FF4" w:rsidRDefault="005B2C9D" w:rsidP="00712FF4">
      <w:pPr>
        <w:autoSpaceDE w:val="0"/>
        <w:autoSpaceDN w:val="0"/>
        <w:spacing w:after="40" w:line="240" w:lineRule="auto"/>
        <w:rPr>
          <w:rFonts w:ascii="Trebuchet MS" w:eastAsia="Times New Roman" w:hAnsi="Trebuchet MS"/>
          <w:noProof/>
          <w:sz w:val="18"/>
          <w:szCs w:val="18"/>
        </w:rPr>
      </w:pPr>
      <w:r>
        <w:rPr>
          <w:rFonts w:ascii="Trebuchet MS" w:hAnsi="Trebuchet MS"/>
          <w:noProof/>
          <w:sz w:val="18"/>
        </w:rPr>
        <w:t>Program CENTRAL EUROPE 2020</w:t>
      </w:r>
    </w:p>
    <w:p w14:paraId="6536DEDB" w14:textId="77777777" w:rsidR="00CE3B02" w:rsidRPr="00712FF4" w:rsidRDefault="00CE3B02" w:rsidP="00712FF4">
      <w:pPr>
        <w:autoSpaceDE w:val="0"/>
        <w:autoSpaceDN w:val="0"/>
        <w:spacing w:after="40" w:line="240" w:lineRule="auto"/>
        <w:rPr>
          <w:rFonts w:ascii="Trebuchet MS" w:eastAsia="Times New Roman" w:hAnsi="Trebuchet MS"/>
          <w:noProof/>
          <w:sz w:val="18"/>
          <w:szCs w:val="18"/>
        </w:rPr>
      </w:pPr>
      <w:r>
        <w:rPr>
          <w:rFonts w:ascii="Trebuchet MS" w:hAnsi="Trebuchet MS"/>
          <w:noProof/>
          <w:sz w:val="18"/>
        </w:rPr>
        <w:t>Kirchberggasse 33-35/11, A-1070 Vídeň, Rakousko</w:t>
      </w:r>
    </w:p>
    <w:p w14:paraId="0510524D" w14:textId="77777777" w:rsidR="00CE3B02" w:rsidRPr="00712FF4" w:rsidRDefault="00CE3B02" w:rsidP="00712FF4">
      <w:pPr>
        <w:autoSpaceDE w:val="0"/>
        <w:autoSpaceDN w:val="0"/>
        <w:spacing w:after="40" w:line="240" w:lineRule="auto"/>
        <w:rPr>
          <w:rFonts w:ascii="Trebuchet MS" w:eastAsia="Times New Roman" w:hAnsi="Trebuchet MS"/>
          <w:noProof/>
          <w:sz w:val="18"/>
          <w:szCs w:val="18"/>
        </w:rPr>
      </w:pPr>
      <w:r>
        <w:rPr>
          <w:rFonts w:ascii="Trebuchet MS" w:hAnsi="Trebuchet MS"/>
          <w:noProof/>
          <w:sz w:val="18"/>
        </w:rPr>
        <w:t>Tel.: +43-1-8908 088 2403</w:t>
      </w:r>
    </w:p>
    <w:p w14:paraId="5E32062C" w14:textId="77777777" w:rsidR="00CE3B02" w:rsidRPr="00712FF4" w:rsidRDefault="00CE3B02" w:rsidP="00712FF4">
      <w:pPr>
        <w:autoSpaceDE w:val="0"/>
        <w:autoSpaceDN w:val="0"/>
        <w:spacing w:after="40" w:line="240" w:lineRule="auto"/>
        <w:rPr>
          <w:rFonts w:ascii="Trebuchet MS" w:eastAsia="Times New Roman" w:hAnsi="Trebuchet MS"/>
          <w:noProof/>
          <w:sz w:val="18"/>
          <w:szCs w:val="18"/>
        </w:rPr>
      </w:pPr>
      <w:r>
        <w:rPr>
          <w:rFonts w:ascii="Trebuchet MS" w:hAnsi="Trebuchet MS"/>
          <w:noProof/>
          <w:sz w:val="18"/>
        </w:rPr>
        <w:t xml:space="preserve">E-mail: </w:t>
      </w:r>
      <w:hyperlink r:id="rId9">
        <w:r>
          <w:rPr>
            <w:rStyle w:val="Hypertextovodkaz"/>
            <w:rFonts w:ascii="Trebuchet MS" w:hAnsi="Trebuchet MS"/>
            <w:noProof/>
            <w:sz w:val="18"/>
          </w:rPr>
          <w:t>info@central2013.eu</w:t>
        </w:r>
      </w:hyperlink>
      <w:r>
        <w:rPr>
          <w:rFonts w:ascii="Trebuchet MS" w:hAnsi="Trebuchet MS"/>
          <w:noProof/>
          <w:sz w:val="18"/>
        </w:rPr>
        <w:t xml:space="preserve">  </w:t>
      </w:r>
    </w:p>
    <w:p w14:paraId="4023BAA6" w14:textId="77777777" w:rsidR="00CE3B02" w:rsidRPr="00712FF4" w:rsidRDefault="00CE3B02" w:rsidP="00712FF4">
      <w:pPr>
        <w:autoSpaceDE w:val="0"/>
        <w:autoSpaceDN w:val="0"/>
        <w:spacing w:after="40" w:line="240" w:lineRule="auto"/>
        <w:rPr>
          <w:rFonts w:ascii="Trebuchet MS" w:eastAsia="Times New Roman" w:hAnsi="Trebuchet MS"/>
          <w:noProof/>
          <w:sz w:val="18"/>
          <w:szCs w:val="18"/>
        </w:rPr>
      </w:pPr>
      <w:r>
        <w:rPr>
          <w:rFonts w:ascii="Trebuchet MS" w:hAnsi="Trebuchet MS"/>
          <w:noProof/>
          <w:sz w:val="18"/>
        </w:rPr>
        <w:t xml:space="preserve">Web: </w:t>
      </w:r>
      <w:hyperlink r:id="rId10">
        <w:r>
          <w:rPr>
            <w:rStyle w:val="Hypertextovodkaz"/>
            <w:rFonts w:ascii="Trebuchet MS" w:hAnsi="Trebuchet MS"/>
            <w:noProof/>
            <w:sz w:val="18"/>
          </w:rPr>
          <w:t>http://www.central2020.eu</w:t>
        </w:r>
      </w:hyperlink>
      <w:r>
        <w:rPr>
          <w:rFonts w:ascii="Trebuchet MS" w:hAnsi="Trebuchet MS"/>
          <w:noProof/>
          <w:sz w:val="18"/>
        </w:rPr>
        <w:t xml:space="preserve">  </w:t>
      </w:r>
    </w:p>
    <w:p w14:paraId="35BC4507" w14:textId="428EB7D7" w:rsidR="00CE3B02" w:rsidRPr="00712FF4" w:rsidRDefault="00CE3B02" w:rsidP="00712FF4">
      <w:pPr>
        <w:autoSpaceDE w:val="0"/>
        <w:autoSpaceDN w:val="0"/>
        <w:spacing w:after="40" w:line="240" w:lineRule="auto"/>
        <w:rPr>
          <w:rFonts w:ascii="Trebuchet MS" w:eastAsia="Times New Roman" w:hAnsi="Trebuchet MS"/>
          <w:noProof/>
          <w:sz w:val="18"/>
          <w:szCs w:val="18"/>
        </w:rPr>
      </w:pPr>
      <w:r>
        <w:rPr>
          <w:rFonts w:ascii="Trebuchet MS" w:hAnsi="Trebuchet MS"/>
          <w:noProof/>
          <w:sz w:val="18"/>
        </w:rPr>
        <w:t xml:space="preserve">Facebook: </w:t>
      </w:r>
      <w:hyperlink r:id="rId11">
        <w:r>
          <w:rPr>
            <w:rStyle w:val="Hypertextovodkaz"/>
            <w:rFonts w:ascii="Trebuchet MS" w:hAnsi="Trebuchet MS"/>
            <w:noProof/>
            <w:sz w:val="18"/>
          </w:rPr>
          <w:t>www.facebook.com/CentralEuropeProgramme</w:t>
        </w:r>
      </w:hyperlink>
      <w:r>
        <w:rPr>
          <w:rFonts w:ascii="Trebuchet MS" w:hAnsi="Trebuchet MS"/>
          <w:noProof/>
          <w:sz w:val="18"/>
        </w:rPr>
        <w:t xml:space="preserve"> </w:t>
      </w:r>
    </w:p>
    <w:p w14:paraId="12B0E567" w14:textId="77777777" w:rsidR="00CE3B02" w:rsidRPr="00712FF4" w:rsidRDefault="00CE3B02" w:rsidP="00712FF4">
      <w:pPr>
        <w:autoSpaceDE w:val="0"/>
        <w:autoSpaceDN w:val="0"/>
        <w:spacing w:after="40" w:line="240" w:lineRule="auto"/>
        <w:rPr>
          <w:rFonts w:ascii="Trebuchet MS" w:eastAsia="Times New Roman" w:hAnsi="Trebuchet MS"/>
          <w:noProof/>
          <w:sz w:val="18"/>
          <w:szCs w:val="18"/>
        </w:rPr>
      </w:pPr>
      <w:r>
        <w:rPr>
          <w:rFonts w:ascii="Trebuchet MS" w:hAnsi="Trebuchet MS"/>
          <w:noProof/>
          <w:sz w:val="18"/>
        </w:rPr>
        <w:t xml:space="preserve">LinkedIn: </w:t>
      </w:r>
      <w:hyperlink r:id="rId12">
        <w:r>
          <w:rPr>
            <w:rStyle w:val="Hypertextovodkaz"/>
            <w:rFonts w:ascii="Trebuchet MS" w:hAnsi="Trebuchet MS"/>
            <w:noProof/>
            <w:sz w:val="18"/>
          </w:rPr>
          <w:t>www.linkedin.com/in/centraleuropeprogramme</w:t>
        </w:r>
      </w:hyperlink>
      <w:r>
        <w:rPr>
          <w:rFonts w:ascii="Trebuchet MS" w:hAnsi="Trebuchet MS"/>
          <w:noProof/>
          <w:sz w:val="18"/>
        </w:rPr>
        <w:t xml:space="preserve">  </w:t>
      </w:r>
    </w:p>
    <w:p w14:paraId="4384DD0F" w14:textId="601F931D" w:rsidR="005B2C9D" w:rsidRPr="00712FF4" w:rsidRDefault="00CE3B02" w:rsidP="00712FF4">
      <w:pPr>
        <w:autoSpaceDE w:val="0"/>
        <w:autoSpaceDN w:val="0"/>
        <w:spacing w:after="40" w:line="240" w:lineRule="auto"/>
        <w:rPr>
          <w:rFonts w:ascii="Trebuchet MS" w:hAnsi="Trebuchet MS" w:cs="Verdana"/>
          <w:sz w:val="18"/>
          <w:szCs w:val="20"/>
        </w:rPr>
      </w:pPr>
      <w:r>
        <w:rPr>
          <w:rFonts w:ascii="Trebuchet MS" w:hAnsi="Trebuchet MS"/>
          <w:noProof/>
          <w:sz w:val="18"/>
        </w:rPr>
        <w:t>Twitter: @CEProgramme</w:t>
      </w:r>
      <w:bookmarkEnd w:id="3"/>
    </w:p>
    <w:sectPr w:rsidR="005B2C9D" w:rsidRPr="00712FF4" w:rsidSect="00A8276A">
      <w:headerReference w:type="default" r:id="rId13"/>
      <w:footerReference w:type="default" r:id="rId14"/>
      <w:pgSz w:w="11906" w:h="16838"/>
      <w:pgMar w:top="1417" w:right="1417" w:bottom="1134" w:left="1417" w:header="708" w:footer="52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FE325" w14:textId="77777777" w:rsidR="00A50194" w:rsidRDefault="00A50194" w:rsidP="00C43C5F">
      <w:pPr>
        <w:spacing w:after="0" w:line="240" w:lineRule="auto"/>
      </w:pPr>
      <w:r>
        <w:separator/>
      </w:r>
    </w:p>
  </w:endnote>
  <w:endnote w:type="continuationSeparator" w:id="0">
    <w:p w14:paraId="518B1F38" w14:textId="77777777" w:rsidR="00A50194" w:rsidRDefault="00A50194" w:rsidP="00C43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EE"/>
    <w:family w:val="swiss"/>
    <w:pitch w:val="variable"/>
    <w:sig w:usb0="00000287" w:usb1="00000003"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BF407" w14:textId="7D7744E0" w:rsidR="00053EC9" w:rsidRDefault="00402063" w:rsidP="00402063">
    <w:pPr>
      <w:pStyle w:val="Zpat"/>
      <w:spacing w:after="120" w:line="240" w:lineRule="auto"/>
      <w:jc w:val="center"/>
    </w:pPr>
    <w:r>
      <w:rPr>
        <w:rFonts w:ascii="Trebuchet MS" w:hAnsi="Trebuchet MS"/>
        <w:sz w:val="18"/>
      </w:rPr>
      <w:t>Operační program nadnárodní spolupráce CENTRAL EUROPE 2020</w:t>
    </w:r>
    <w:r>
      <w:rPr>
        <w:sz w:val="18"/>
      </w:rPr>
      <w:t xml:space="preserve"> </w:t>
    </w:r>
    <w:r>
      <w:rPr>
        <w:noProof/>
        <w:lang w:bidi="ar-SA"/>
      </w:rPr>
      <mc:AlternateContent>
        <mc:Choice Requires="wps">
          <w:drawing>
            <wp:anchor distT="0" distB="0" distL="114300" distR="114300" simplePos="0" relativeHeight="251657728" behindDoc="0" locked="0" layoutInCell="1" allowOverlap="1" wp14:anchorId="18245358" wp14:editId="449E1C5A">
              <wp:simplePos x="0" y="0"/>
              <wp:positionH relativeFrom="page">
                <wp:posOffset>6826885</wp:posOffset>
              </wp:positionH>
              <wp:positionV relativeFrom="page">
                <wp:posOffset>10210165</wp:posOffset>
              </wp:positionV>
              <wp:extent cx="565785" cy="19177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14:paraId="00B28A2E" w14:textId="77777777" w:rsidR="00053EC9" w:rsidRPr="005165BF" w:rsidRDefault="00053EC9" w:rsidP="00E73B93">
                          <w:pPr>
                            <w:pBdr>
                              <w:top w:val="single" w:sz="4" w:space="1" w:color="7F7F7F"/>
                            </w:pBdr>
                            <w:jc w:val="center"/>
                            <w:rPr>
                              <w:color w:val="C0504D"/>
                              <w:sz w:val="20"/>
                              <w:szCs w:val="20"/>
                            </w:rPr>
                          </w:pPr>
                          <w:r w:rsidRPr="005165BF">
                            <w:rPr>
                              <w:sz w:val="20"/>
                              <w:szCs w:val="20"/>
                            </w:rPr>
                            <w:fldChar w:fldCharType="begin"/>
                          </w:r>
                          <w:r w:rsidRPr="005165BF">
                            <w:rPr>
                              <w:sz w:val="20"/>
                              <w:szCs w:val="20"/>
                            </w:rPr>
                            <w:instrText xml:space="preserve"> PAGE   \* MERGEFORMAT </w:instrText>
                          </w:r>
                          <w:r w:rsidRPr="005165BF">
                            <w:rPr>
                              <w:sz w:val="20"/>
                              <w:szCs w:val="20"/>
                            </w:rPr>
                            <w:fldChar w:fldCharType="separate"/>
                          </w:r>
                          <w:r w:rsidR="0059439D" w:rsidRPr="0059439D">
                            <w:rPr>
                              <w:noProof/>
                              <w:color w:val="C0504D"/>
                              <w:sz w:val="20"/>
                              <w:szCs w:val="20"/>
                            </w:rPr>
                            <w:t>5</w:t>
                          </w:r>
                          <w:r w:rsidRPr="005165BF">
                            <w:rPr>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8245358" id="Rectangle 4" o:spid="_x0000_s1026" style="position:absolute;left:0;text-align:left;margin-left:537.55pt;margin-top:803.95pt;width:44.55pt;height:15.1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" filled="f" fillcolor="#c0504d" stroked="f" strokecolor="#4f81bd" strokeweight="2.25pt">
              <v:textbox inset=",0,,0">
                <w:txbxContent>
                  <w:p w14:paraId="00B28A2E" w14:textId="77777777" w:rsidR="00053EC9" w:rsidRPr="005165BF" w:rsidRDefault="00053EC9" w:rsidP="00E73B93">
                    <w:pPr>
                      <w:pBdr>
                        <w:top w:val="single" w:sz="4" w:space="1" w:color="7F7F7F"/>
                      </w:pBdr>
                      <w:jc w:val="center"/>
                      <w:rPr>
                        <w:color w:val="C0504D"/>
                        <w:sz w:val="20"/>
                        <w:szCs w:val="20"/>
                      </w:rPr>
                    </w:pPr>
                    <w:r w:rsidRPr="005165BF">
                      <w:rPr>
                        <w:sz w:val="20"/>
                        <w:szCs w:val="20"/>
                      </w:rPr>
                      <w:fldChar w:fldCharType="begin"/>
                    </w:r>
                    <w:r w:rsidRPr="005165BF">
                      <w:rPr>
                        <w:sz w:val="20"/>
                        <w:szCs w:val="20"/>
                      </w:rPr>
                      <w:instrText xml:space="preserve"> PAGE   \* MERGEFORMAT </w:instrText>
                    </w:r>
                    <w:r w:rsidRPr="005165BF">
                      <w:rPr>
                        <w:sz w:val="20"/>
                        <w:szCs w:val="20"/>
                      </w:rPr>
                      <w:fldChar w:fldCharType="separate"/>
                    </w:r>
                    <w:r w:rsidR="0059439D" w:rsidRPr="0059439D">
                      <w:rPr>
                        <w:noProof/>
                        <w:color w:val="C0504D"/>
                        <w:sz w:val="20"/>
                        <w:szCs w:val="20"/>
                      </w:rPr>
                      <w:t>5</w:t>
                    </w:r>
                    <w:r w:rsidRPr="005165BF">
                      <w:rPr>
                        <w:sz w:val="20"/>
                        <w:szCs w:val="2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1389F" w14:textId="77777777" w:rsidR="00A50194" w:rsidRDefault="00A50194" w:rsidP="00C43C5F">
      <w:pPr>
        <w:spacing w:after="0" w:line="240" w:lineRule="auto"/>
      </w:pPr>
      <w:r>
        <w:separator/>
      </w:r>
    </w:p>
  </w:footnote>
  <w:footnote w:type="continuationSeparator" w:id="0">
    <w:p w14:paraId="15278C3A" w14:textId="77777777" w:rsidR="00A50194" w:rsidRDefault="00A50194" w:rsidP="00C43C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D7916" w14:textId="1ECB3DC5" w:rsidR="00053EC9" w:rsidRDefault="009C5B85" w:rsidP="00402063">
    <w:pPr>
      <w:pStyle w:val="Zhlav"/>
      <w:spacing w:after="0" w:line="240" w:lineRule="auto"/>
      <w:jc w:val="right"/>
    </w:pPr>
    <w:r>
      <w:rPr>
        <w:noProof/>
        <w:lang w:bidi="ar-SA"/>
      </w:rPr>
      <w:drawing>
        <wp:inline distT="0" distB="0" distL="0" distR="0" wp14:anchorId="71CE4948" wp14:editId="11DE4C5D">
          <wp:extent cx="1871980" cy="362585"/>
          <wp:effectExtent l="0" t="0" r="0" b="0"/>
          <wp:docPr id="2" name="Picture 1" descr="Central logo_daily 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al logo_daily u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1980" cy="362585"/>
                  </a:xfrm>
                  <a:prstGeom prst="rect">
                    <a:avLst/>
                  </a:prstGeom>
                  <a:noFill/>
                  <a:ln>
                    <a:noFill/>
                  </a:ln>
                </pic:spPr>
              </pic:pic>
            </a:graphicData>
          </a:graphic>
        </wp:inline>
      </w:drawing>
    </w:r>
  </w:p>
  <w:p w14:paraId="0DDB252D" w14:textId="77777777" w:rsidR="00E45352" w:rsidRDefault="00E45352" w:rsidP="00E45352">
    <w:pPr>
      <w:pStyle w:val="Zhlav"/>
      <w:spacing w:after="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01BF"/>
    <w:multiLevelType w:val="hybridMultilevel"/>
    <w:tmpl w:val="5146698C"/>
    <w:lvl w:ilvl="0" w:tplc="AD16C3C8">
      <w:numFmt w:val="bullet"/>
      <w:lvlText w:val="-"/>
      <w:lvlJc w:val="left"/>
      <w:pPr>
        <w:ind w:left="360" w:hanging="360"/>
      </w:pPr>
      <w:rPr>
        <w:rFonts w:ascii="Trebuchet MS" w:eastAsia="Calibri" w:hAnsi="Trebuchet MS" w:cs="Times New Roman"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nsid w:val="03016298"/>
    <w:multiLevelType w:val="hybridMultilevel"/>
    <w:tmpl w:val="5CDA8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F00327"/>
    <w:multiLevelType w:val="hybridMultilevel"/>
    <w:tmpl w:val="53508050"/>
    <w:lvl w:ilvl="0" w:tplc="0C07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8397EA9"/>
    <w:multiLevelType w:val="hybridMultilevel"/>
    <w:tmpl w:val="1694A88E"/>
    <w:lvl w:ilvl="0" w:tplc="2390CECC">
      <w:start w:val="1"/>
      <w:numFmt w:val="bullet"/>
      <w:lvlText w:val="-"/>
      <w:lvlJc w:val="left"/>
      <w:pPr>
        <w:ind w:left="360" w:hanging="360"/>
      </w:pPr>
      <w:rPr>
        <w:rFonts w:ascii="Trebuchet MS" w:eastAsia="Calibri" w:hAnsi="Trebuchet MS" w:cs="Times New Roman"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nsid w:val="1CE94AC6"/>
    <w:multiLevelType w:val="hybridMultilevel"/>
    <w:tmpl w:val="9B20B686"/>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1F941A1C"/>
    <w:multiLevelType w:val="hybridMultilevel"/>
    <w:tmpl w:val="9E824EEC"/>
    <w:lvl w:ilvl="0" w:tplc="0C070005">
      <w:start w:val="1"/>
      <w:numFmt w:val="bullet"/>
      <w:lvlText w:val=""/>
      <w:lvlJc w:val="left"/>
      <w:pPr>
        <w:ind w:left="612" w:hanging="360"/>
      </w:pPr>
      <w:rPr>
        <w:rFonts w:ascii="Wingdings" w:hAnsi="Wingdings" w:hint="default"/>
      </w:rPr>
    </w:lvl>
    <w:lvl w:ilvl="1" w:tplc="0C070003" w:tentative="1">
      <w:start w:val="1"/>
      <w:numFmt w:val="bullet"/>
      <w:lvlText w:val="o"/>
      <w:lvlJc w:val="left"/>
      <w:pPr>
        <w:ind w:left="1332" w:hanging="360"/>
      </w:pPr>
      <w:rPr>
        <w:rFonts w:ascii="Courier New" w:hAnsi="Courier New" w:cs="Courier New" w:hint="default"/>
      </w:rPr>
    </w:lvl>
    <w:lvl w:ilvl="2" w:tplc="0C070005" w:tentative="1">
      <w:start w:val="1"/>
      <w:numFmt w:val="bullet"/>
      <w:lvlText w:val=""/>
      <w:lvlJc w:val="left"/>
      <w:pPr>
        <w:ind w:left="2052" w:hanging="360"/>
      </w:pPr>
      <w:rPr>
        <w:rFonts w:ascii="Wingdings" w:hAnsi="Wingdings" w:hint="default"/>
      </w:rPr>
    </w:lvl>
    <w:lvl w:ilvl="3" w:tplc="0C070001" w:tentative="1">
      <w:start w:val="1"/>
      <w:numFmt w:val="bullet"/>
      <w:lvlText w:val=""/>
      <w:lvlJc w:val="left"/>
      <w:pPr>
        <w:ind w:left="2772" w:hanging="360"/>
      </w:pPr>
      <w:rPr>
        <w:rFonts w:ascii="Symbol" w:hAnsi="Symbol" w:hint="default"/>
      </w:rPr>
    </w:lvl>
    <w:lvl w:ilvl="4" w:tplc="0C070003" w:tentative="1">
      <w:start w:val="1"/>
      <w:numFmt w:val="bullet"/>
      <w:lvlText w:val="o"/>
      <w:lvlJc w:val="left"/>
      <w:pPr>
        <w:ind w:left="3492" w:hanging="360"/>
      </w:pPr>
      <w:rPr>
        <w:rFonts w:ascii="Courier New" w:hAnsi="Courier New" w:cs="Courier New" w:hint="default"/>
      </w:rPr>
    </w:lvl>
    <w:lvl w:ilvl="5" w:tplc="0C070005" w:tentative="1">
      <w:start w:val="1"/>
      <w:numFmt w:val="bullet"/>
      <w:lvlText w:val=""/>
      <w:lvlJc w:val="left"/>
      <w:pPr>
        <w:ind w:left="4212" w:hanging="360"/>
      </w:pPr>
      <w:rPr>
        <w:rFonts w:ascii="Wingdings" w:hAnsi="Wingdings" w:hint="default"/>
      </w:rPr>
    </w:lvl>
    <w:lvl w:ilvl="6" w:tplc="0C070001" w:tentative="1">
      <w:start w:val="1"/>
      <w:numFmt w:val="bullet"/>
      <w:lvlText w:val=""/>
      <w:lvlJc w:val="left"/>
      <w:pPr>
        <w:ind w:left="4932" w:hanging="360"/>
      </w:pPr>
      <w:rPr>
        <w:rFonts w:ascii="Symbol" w:hAnsi="Symbol" w:hint="default"/>
      </w:rPr>
    </w:lvl>
    <w:lvl w:ilvl="7" w:tplc="0C070003" w:tentative="1">
      <w:start w:val="1"/>
      <w:numFmt w:val="bullet"/>
      <w:lvlText w:val="o"/>
      <w:lvlJc w:val="left"/>
      <w:pPr>
        <w:ind w:left="5652" w:hanging="360"/>
      </w:pPr>
      <w:rPr>
        <w:rFonts w:ascii="Courier New" w:hAnsi="Courier New" w:cs="Courier New" w:hint="default"/>
      </w:rPr>
    </w:lvl>
    <w:lvl w:ilvl="8" w:tplc="0C070005" w:tentative="1">
      <w:start w:val="1"/>
      <w:numFmt w:val="bullet"/>
      <w:lvlText w:val=""/>
      <w:lvlJc w:val="left"/>
      <w:pPr>
        <w:ind w:left="6372" w:hanging="360"/>
      </w:pPr>
      <w:rPr>
        <w:rFonts w:ascii="Wingdings" w:hAnsi="Wingdings" w:hint="default"/>
      </w:rPr>
    </w:lvl>
  </w:abstractNum>
  <w:abstractNum w:abstractNumId="6">
    <w:nsid w:val="1FDF5D60"/>
    <w:multiLevelType w:val="hybridMultilevel"/>
    <w:tmpl w:val="01A2FD0E"/>
    <w:lvl w:ilvl="0" w:tplc="9DA65D6C">
      <w:start w:val="1"/>
      <w:numFmt w:val="bullet"/>
      <w:lvlText w:val="•"/>
      <w:lvlJc w:val="left"/>
      <w:pPr>
        <w:tabs>
          <w:tab w:val="num" w:pos="720"/>
        </w:tabs>
        <w:ind w:left="720" w:hanging="360"/>
      </w:pPr>
      <w:rPr>
        <w:rFonts w:ascii="Arial" w:hAnsi="Arial" w:hint="default"/>
      </w:rPr>
    </w:lvl>
    <w:lvl w:ilvl="1" w:tplc="8F24ECDE">
      <w:start w:val="709"/>
      <w:numFmt w:val="bullet"/>
      <w:lvlText w:val="o"/>
      <w:lvlJc w:val="left"/>
      <w:pPr>
        <w:tabs>
          <w:tab w:val="num" w:pos="1440"/>
        </w:tabs>
        <w:ind w:left="1440" w:hanging="360"/>
      </w:pPr>
      <w:rPr>
        <w:rFonts w:ascii="Courier New" w:hAnsi="Courier New" w:hint="default"/>
      </w:rPr>
    </w:lvl>
    <w:lvl w:ilvl="2" w:tplc="87486A3A">
      <w:start w:val="1"/>
      <w:numFmt w:val="bullet"/>
      <w:lvlText w:val="•"/>
      <w:lvlJc w:val="left"/>
      <w:pPr>
        <w:tabs>
          <w:tab w:val="num" w:pos="2160"/>
        </w:tabs>
        <w:ind w:left="2160" w:hanging="360"/>
      </w:pPr>
      <w:rPr>
        <w:rFonts w:ascii="Arial" w:hAnsi="Arial" w:hint="default"/>
      </w:rPr>
    </w:lvl>
    <w:lvl w:ilvl="3" w:tplc="B920B2A0" w:tentative="1">
      <w:start w:val="1"/>
      <w:numFmt w:val="bullet"/>
      <w:lvlText w:val="•"/>
      <w:lvlJc w:val="left"/>
      <w:pPr>
        <w:tabs>
          <w:tab w:val="num" w:pos="2880"/>
        </w:tabs>
        <w:ind w:left="2880" w:hanging="360"/>
      </w:pPr>
      <w:rPr>
        <w:rFonts w:ascii="Arial" w:hAnsi="Arial" w:hint="default"/>
      </w:rPr>
    </w:lvl>
    <w:lvl w:ilvl="4" w:tplc="56160E1A" w:tentative="1">
      <w:start w:val="1"/>
      <w:numFmt w:val="bullet"/>
      <w:lvlText w:val="•"/>
      <w:lvlJc w:val="left"/>
      <w:pPr>
        <w:tabs>
          <w:tab w:val="num" w:pos="3600"/>
        </w:tabs>
        <w:ind w:left="3600" w:hanging="360"/>
      </w:pPr>
      <w:rPr>
        <w:rFonts w:ascii="Arial" w:hAnsi="Arial" w:hint="default"/>
      </w:rPr>
    </w:lvl>
    <w:lvl w:ilvl="5" w:tplc="48D0B208" w:tentative="1">
      <w:start w:val="1"/>
      <w:numFmt w:val="bullet"/>
      <w:lvlText w:val="•"/>
      <w:lvlJc w:val="left"/>
      <w:pPr>
        <w:tabs>
          <w:tab w:val="num" w:pos="4320"/>
        </w:tabs>
        <w:ind w:left="4320" w:hanging="360"/>
      </w:pPr>
      <w:rPr>
        <w:rFonts w:ascii="Arial" w:hAnsi="Arial" w:hint="default"/>
      </w:rPr>
    </w:lvl>
    <w:lvl w:ilvl="6" w:tplc="51942FCC" w:tentative="1">
      <w:start w:val="1"/>
      <w:numFmt w:val="bullet"/>
      <w:lvlText w:val="•"/>
      <w:lvlJc w:val="left"/>
      <w:pPr>
        <w:tabs>
          <w:tab w:val="num" w:pos="5040"/>
        </w:tabs>
        <w:ind w:left="5040" w:hanging="360"/>
      </w:pPr>
      <w:rPr>
        <w:rFonts w:ascii="Arial" w:hAnsi="Arial" w:hint="default"/>
      </w:rPr>
    </w:lvl>
    <w:lvl w:ilvl="7" w:tplc="1CDED23A" w:tentative="1">
      <w:start w:val="1"/>
      <w:numFmt w:val="bullet"/>
      <w:lvlText w:val="•"/>
      <w:lvlJc w:val="left"/>
      <w:pPr>
        <w:tabs>
          <w:tab w:val="num" w:pos="5760"/>
        </w:tabs>
        <w:ind w:left="5760" w:hanging="360"/>
      </w:pPr>
      <w:rPr>
        <w:rFonts w:ascii="Arial" w:hAnsi="Arial" w:hint="default"/>
      </w:rPr>
    </w:lvl>
    <w:lvl w:ilvl="8" w:tplc="7D828BFE" w:tentative="1">
      <w:start w:val="1"/>
      <w:numFmt w:val="bullet"/>
      <w:lvlText w:val="•"/>
      <w:lvlJc w:val="left"/>
      <w:pPr>
        <w:tabs>
          <w:tab w:val="num" w:pos="6480"/>
        </w:tabs>
        <w:ind w:left="6480" w:hanging="360"/>
      </w:pPr>
      <w:rPr>
        <w:rFonts w:ascii="Arial" w:hAnsi="Arial" w:hint="default"/>
      </w:rPr>
    </w:lvl>
  </w:abstractNum>
  <w:abstractNum w:abstractNumId="7">
    <w:nsid w:val="214D3BB4"/>
    <w:multiLevelType w:val="hybridMultilevel"/>
    <w:tmpl w:val="6A78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B319FA"/>
    <w:multiLevelType w:val="hybridMultilevel"/>
    <w:tmpl w:val="856847E8"/>
    <w:lvl w:ilvl="0" w:tplc="0C07000F">
      <w:start w:val="1"/>
      <w:numFmt w:val="decimal"/>
      <w:lvlText w:val="%1."/>
      <w:lvlJc w:val="left"/>
      <w:pPr>
        <w:ind w:left="360" w:hanging="360"/>
      </w:pPr>
      <w:rPr>
        <w:rFont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9">
    <w:nsid w:val="236B0A6A"/>
    <w:multiLevelType w:val="hybridMultilevel"/>
    <w:tmpl w:val="59B85F12"/>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nsid w:val="25B07FDF"/>
    <w:multiLevelType w:val="hybridMultilevel"/>
    <w:tmpl w:val="C11E3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4B4CDD"/>
    <w:multiLevelType w:val="hybridMultilevel"/>
    <w:tmpl w:val="CBB0C498"/>
    <w:lvl w:ilvl="0" w:tplc="B088DA06">
      <w:numFmt w:val="bullet"/>
      <w:lvlText w:val="-"/>
      <w:lvlJc w:val="left"/>
      <w:pPr>
        <w:tabs>
          <w:tab w:val="num" w:pos="720"/>
        </w:tabs>
        <w:ind w:left="720" w:hanging="360"/>
      </w:pPr>
      <w:rPr>
        <w:rFonts w:ascii="Century Gothic" w:eastAsia="Times New Roman" w:hAnsi="Century Gothic"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C114F"/>
    <w:multiLevelType w:val="hybridMultilevel"/>
    <w:tmpl w:val="763C431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FC4726A"/>
    <w:multiLevelType w:val="hybridMultilevel"/>
    <w:tmpl w:val="39C0EA30"/>
    <w:lvl w:ilvl="0" w:tplc="0409000F">
      <w:start w:val="1"/>
      <w:numFmt w:val="decimal"/>
      <w:lvlText w:val="%1."/>
      <w:lvlJc w:val="left"/>
      <w:pPr>
        <w:ind w:left="360" w:hanging="360"/>
      </w:pPr>
      <w:rPr>
        <w:rFont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4">
    <w:nsid w:val="475C4D14"/>
    <w:multiLevelType w:val="hybridMultilevel"/>
    <w:tmpl w:val="7E1C7744"/>
    <w:lvl w:ilvl="0" w:tplc="0C07000F">
      <w:start w:val="1"/>
      <w:numFmt w:val="decimal"/>
      <w:lvlText w:val="%1."/>
      <w:lvlJc w:val="left"/>
      <w:pPr>
        <w:ind w:left="360" w:hanging="360"/>
      </w:pPr>
      <w:rPr>
        <w:rFont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5">
    <w:nsid w:val="4C3D1562"/>
    <w:multiLevelType w:val="hybridMultilevel"/>
    <w:tmpl w:val="06321E8C"/>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6">
    <w:nsid w:val="4CDD7EDA"/>
    <w:multiLevelType w:val="hybridMultilevel"/>
    <w:tmpl w:val="D910CF40"/>
    <w:lvl w:ilvl="0" w:tplc="2FB48334">
      <w:numFmt w:val="bullet"/>
      <w:lvlText w:val="-"/>
      <w:lvlJc w:val="left"/>
      <w:pPr>
        <w:ind w:left="360" w:hanging="360"/>
      </w:pPr>
      <w:rPr>
        <w:rFonts w:ascii="Trebuchet MS" w:eastAsia="Calibri" w:hAnsi="Trebuchet MS"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4D89565A"/>
    <w:multiLevelType w:val="hybridMultilevel"/>
    <w:tmpl w:val="EFA4EA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AA50C8"/>
    <w:multiLevelType w:val="hybridMultilevel"/>
    <w:tmpl w:val="E51AA886"/>
    <w:lvl w:ilvl="0" w:tplc="8836E0E2">
      <w:start w:val="1"/>
      <w:numFmt w:val="decimal"/>
      <w:lvlText w:val="%1)"/>
      <w:lvlJc w:val="left"/>
      <w:pPr>
        <w:ind w:left="1200" w:hanging="48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51E501A8"/>
    <w:multiLevelType w:val="hybridMultilevel"/>
    <w:tmpl w:val="5CA6D2E8"/>
    <w:lvl w:ilvl="0" w:tplc="2A988214">
      <w:start w:val="1"/>
      <w:numFmt w:val="bullet"/>
      <w:lvlText w:val="+"/>
      <w:lvlJc w:val="left"/>
      <w:pPr>
        <w:ind w:left="360" w:hanging="360"/>
      </w:pPr>
      <w:rPr>
        <w:rFonts w:ascii="Trebuchet MS" w:hAnsi="Trebuchet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2355F6E"/>
    <w:multiLevelType w:val="hybridMultilevel"/>
    <w:tmpl w:val="914A381C"/>
    <w:lvl w:ilvl="0" w:tplc="0C07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62D9627E"/>
    <w:multiLevelType w:val="hybridMultilevel"/>
    <w:tmpl w:val="982A0790"/>
    <w:lvl w:ilvl="0" w:tplc="0409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2">
    <w:nsid w:val="62D970EC"/>
    <w:multiLevelType w:val="hybridMultilevel"/>
    <w:tmpl w:val="401E35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64F2AC1"/>
    <w:multiLevelType w:val="hybridMultilevel"/>
    <w:tmpl w:val="EEEA47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BA7171"/>
    <w:multiLevelType w:val="hybridMultilevel"/>
    <w:tmpl w:val="89482DF0"/>
    <w:lvl w:ilvl="0" w:tplc="A118ABCE">
      <w:numFmt w:val="bullet"/>
      <w:lvlText w:val="-"/>
      <w:lvlJc w:val="left"/>
      <w:pPr>
        <w:ind w:left="720" w:hanging="360"/>
      </w:pPr>
      <w:rPr>
        <w:rFonts w:ascii="Trebuchet MS" w:eastAsia="Calibri"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9B85DC1"/>
    <w:multiLevelType w:val="hybridMultilevel"/>
    <w:tmpl w:val="73D2D046"/>
    <w:lvl w:ilvl="0" w:tplc="7FA8F16A">
      <w:start w:val="1"/>
      <w:numFmt w:val="bullet"/>
      <w:lvlText w:val="–"/>
      <w:lvlJc w:val="left"/>
      <w:pPr>
        <w:ind w:left="720" w:hanging="360"/>
      </w:pPr>
      <w:rPr>
        <w:rFonts w:ascii="Arial" w:hAnsi="Arial" w:cs="Arial" w:hint="default"/>
        <w:color w:val="0060A9"/>
      </w:rPr>
    </w:lvl>
    <w:lvl w:ilvl="1" w:tplc="0F4E75A0" w:tentative="1">
      <w:start w:val="1"/>
      <w:numFmt w:val="bullet"/>
      <w:lvlText w:val="o"/>
      <w:lvlJc w:val="left"/>
      <w:pPr>
        <w:ind w:left="1440" w:hanging="360"/>
      </w:pPr>
      <w:rPr>
        <w:rFonts w:ascii="Courier New" w:hAnsi="Courier New" w:cs="Courier New" w:hint="default"/>
      </w:rPr>
    </w:lvl>
    <w:lvl w:ilvl="2" w:tplc="06AAF4DA" w:tentative="1">
      <w:start w:val="1"/>
      <w:numFmt w:val="bullet"/>
      <w:lvlText w:val=""/>
      <w:lvlJc w:val="left"/>
      <w:pPr>
        <w:ind w:left="2160" w:hanging="360"/>
      </w:pPr>
      <w:rPr>
        <w:rFonts w:ascii="Wingdings" w:hAnsi="Wingdings" w:hint="default"/>
      </w:rPr>
    </w:lvl>
    <w:lvl w:ilvl="3" w:tplc="E4181F90" w:tentative="1">
      <w:start w:val="1"/>
      <w:numFmt w:val="bullet"/>
      <w:lvlText w:val=""/>
      <w:lvlJc w:val="left"/>
      <w:pPr>
        <w:ind w:left="2880" w:hanging="360"/>
      </w:pPr>
      <w:rPr>
        <w:rFonts w:ascii="Symbol" w:hAnsi="Symbol" w:hint="default"/>
      </w:rPr>
    </w:lvl>
    <w:lvl w:ilvl="4" w:tplc="5D8E875C" w:tentative="1">
      <w:start w:val="1"/>
      <w:numFmt w:val="bullet"/>
      <w:lvlText w:val="o"/>
      <w:lvlJc w:val="left"/>
      <w:pPr>
        <w:ind w:left="3600" w:hanging="360"/>
      </w:pPr>
      <w:rPr>
        <w:rFonts w:ascii="Courier New" w:hAnsi="Courier New" w:cs="Courier New" w:hint="default"/>
      </w:rPr>
    </w:lvl>
    <w:lvl w:ilvl="5" w:tplc="75C68C24" w:tentative="1">
      <w:start w:val="1"/>
      <w:numFmt w:val="bullet"/>
      <w:lvlText w:val=""/>
      <w:lvlJc w:val="left"/>
      <w:pPr>
        <w:ind w:left="4320" w:hanging="360"/>
      </w:pPr>
      <w:rPr>
        <w:rFonts w:ascii="Wingdings" w:hAnsi="Wingdings" w:hint="default"/>
      </w:rPr>
    </w:lvl>
    <w:lvl w:ilvl="6" w:tplc="E8468244" w:tentative="1">
      <w:start w:val="1"/>
      <w:numFmt w:val="bullet"/>
      <w:lvlText w:val=""/>
      <w:lvlJc w:val="left"/>
      <w:pPr>
        <w:ind w:left="5040" w:hanging="360"/>
      </w:pPr>
      <w:rPr>
        <w:rFonts w:ascii="Symbol" w:hAnsi="Symbol" w:hint="default"/>
      </w:rPr>
    </w:lvl>
    <w:lvl w:ilvl="7" w:tplc="F32A57DA" w:tentative="1">
      <w:start w:val="1"/>
      <w:numFmt w:val="bullet"/>
      <w:lvlText w:val="o"/>
      <w:lvlJc w:val="left"/>
      <w:pPr>
        <w:ind w:left="5760" w:hanging="360"/>
      </w:pPr>
      <w:rPr>
        <w:rFonts w:ascii="Courier New" w:hAnsi="Courier New" w:cs="Courier New" w:hint="default"/>
      </w:rPr>
    </w:lvl>
    <w:lvl w:ilvl="8" w:tplc="9E3A7CAC" w:tentative="1">
      <w:start w:val="1"/>
      <w:numFmt w:val="bullet"/>
      <w:lvlText w:val=""/>
      <w:lvlJc w:val="left"/>
      <w:pPr>
        <w:ind w:left="6480" w:hanging="360"/>
      </w:pPr>
      <w:rPr>
        <w:rFonts w:ascii="Wingdings" w:hAnsi="Wingdings" w:hint="default"/>
      </w:rPr>
    </w:lvl>
  </w:abstractNum>
  <w:abstractNum w:abstractNumId="26">
    <w:nsid w:val="7A2C2BCE"/>
    <w:multiLevelType w:val="hybridMultilevel"/>
    <w:tmpl w:val="92DA3BE2"/>
    <w:lvl w:ilvl="0" w:tplc="08090001">
      <w:start w:val="1"/>
      <w:numFmt w:val="bullet"/>
      <w:lvlText w:val=""/>
      <w:lvlJc w:val="left"/>
      <w:pPr>
        <w:ind w:left="720" w:hanging="360"/>
      </w:pPr>
      <w:rPr>
        <w:rFonts w:ascii="Symbol" w:hAnsi="Symbol" w:hint="default"/>
        <w:color w:val="0060A9"/>
      </w:rPr>
    </w:lvl>
    <w:lvl w:ilvl="1" w:tplc="0F4E75A0" w:tentative="1">
      <w:start w:val="1"/>
      <w:numFmt w:val="bullet"/>
      <w:lvlText w:val="o"/>
      <w:lvlJc w:val="left"/>
      <w:pPr>
        <w:ind w:left="1440" w:hanging="360"/>
      </w:pPr>
      <w:rPr>
        <w:rFonts w:ascii="Courier New" w:hAnsi="Courier New" w:cs="Courier New" w:hint="default"/>
      </w:rPr>
    </w:lvl>
    <w:lvl w:ilvl="2" w:tplc="06AAF4DA" w:tentative="1">
      <w:start w:val="1"/>
      <w:numFmt w:val="bullet"/>
      <w:lvlText w:val=""/>
      <w:lvlJc w:val="left"/>
      <w:pPr>
        <w:ind w:left="2160" w:hanging="360"/>
      </w:pPr>
      <w:rPr>
        <w:rFonts w:ascii="Wingdings" w:hAnsi="Wingdings" w:hint="default"/>
      </w:rPr>
    </w:lvl>
    <w:lvl w:ilvl="3" w:tplc="E4181F90" w:tentative="1">
      <w:start w:val="1"/>
      <w:numFmt w:val="bullet"/>
      <w:lvlText w:val=""/>
      <w:lvlJc w:val="left"/>
      <w:pPr>
        <w:ind w:left="2880" w:hanging="360"/>
      </w:pPr>
      <w:rPr>
        <w:rFonts w:ascii="Symbol" w:hAnsi="Symbol" w:hint="default"/>
      </w:rPr>
    </w:lvl>
    <w:lvl w:ilvl="4" w:tplc="5D8E875C" w:tentative="1">
      <w:start w:val="1"/>
      <w:numFmt w:val="bullet"/>
      <w:lvlText w:val="o"/>
      <w:lvlJc w:val="left"/>
      <w:pPr>
        <w:ind w:left="3600" w:hanging="360"/>
      </w:pPr>
      <w:rPr>
        <w:rFonts w:ascii="Courier New" w:hAnsi="Courier New" w:cs="Courier New" w:hint="default"/>
      </w:rPr>
    </w:lvl>
    <w:lvl w:ilvl="5" w:tplc="75C68C24" w:tentative="1">
      <w:start w:val="1"/>
      <w:numFmt w:val="bullet"/>
      <w:lvlText w:val=""/>
      <w:lvlJc w:val="left"/>
      <w:pPr>
        <w:ind w:left="4320" w:hanging="360"/>
      </w:pPr>
      <w:rPr>
        <w:rFonts w:ascii="Wingdings" w:hAnsi="Wingdings" w:hint="default"/>
      </w:rPr>
    </w:lvl>
    <w:lvl w:ilvl="6" w:tplc="E8468244" w:tentative="1">
      <w:start w:val="1"/>
      <w:numFmt w:val="bullet"/>
      <w:lvlText w:val=""/>
      <w:lvlJc w:val="left"/>
      <w:pPr>
        <w:ind w:left="5040" w:hanging="360"/>
      </w:pPr>
      <w:rPr>
        <w:rFonts w:ascii="Symbol" w:hAnsi="Symbol" w:hint="default"/>
      </w:rPr>
    </w:lvl>
    <w:lvl w:ilvl="7" w:tplc="F32A57DA" w:tentative="1">
      <w:start w:val="1"/>
      <w:numFmt w:val="bullet"/>
      <w:lvlText w:val="o"/>
      <w:lvlJc w:val="left"/>
      <w:pPr>
        <w:ind w:left="5760" w:hanging="360"/>
      </w:pPr>
      <w:rPr>
        <w:rFonts w:ascii="Courier New" w:hAnsi="Courier New" w:cs="Courier New" w:hint="default"/>
      </w:rPr>
    </w:lvl>
    <w:lvl w:ilvl="8" w:tplc="9E3A7CAC" w:tentative="1">
      <w:start w:val="1"/>
      <w:numFmt w:val="bullet"/>
      <w:lvlText w:val=""/>
      <w:lvlJc w:val="left"/>
      <w:pPr>
        <w:ind w:left="6480" w:hanging="360"/>
      </w:pPr>
      <w:rPr>
        <w:rFonts w:ascii="Wingdings" w:hAnsi="Wingdings" w:hint="default"/>
      </w:rPr>
    </w:lvl>
  </w:abstractNum>
  <w:abstractNum w:abstractNumId="27">
    <w:nsid w:val="7D4C1381"/>
    <w:multiLevelType w:val="hybridMultilevel"/>
    <w:tmpl w:val="EF60EDCE"/>
    <w:lvl w:ilvl="0" w:tplc="0C070005">
      <w:start w:val="1"/>
      <w:numFmt w:val="bullet"/>
      <w:lvlText w:val=""/>
      <w:lvlJc w:val="left"/>
      <w:pPr>
        <w:ind w:left="535" w:hanging="360"/>
      </w:pPr>
      <w:rPr>
        <w:rFonts w:ascii="Wingdings" w:hAnsi="Wingdings" w:hint="default"/>
      </w:rPr>
    </w:lvl>
    <w:lvl w:ilvl="1" w:tplc="0C070003" w:tentative="1">
      <w:start w:val="1"/>
      <w:numFmt w:val="bullet"/>
      <w:lvlText w:val="o"/>
      <w:lvlJc w:val="left"/>
      <w:pPr>
        <w:ind w:left="1255" w:hanging="360"/>
      </w:pPr>
      <w:rPr>
        <w:rFonts w:ascii="Courier New" w:hAnsi="Courier New" w:cs="Courier New" w:hint="default"/>
      </w:rPr>
    </w:lvl>
    <w:lvl w:ilvl="2" w:tplc="0C070005" w:tentative="1">
      <w:start w:val="1"/>
      <w:numFmt w:val="bullet"/>
      <w:lvlText w:val=""/>
      <w:lvlJc w:val="left"/>
      <w:pPr>
        <w:ind w:left="1975" w:hanging="360"/>
      </w:pPr>
      <w:rPr>
        <w:rFonts w:ascii="Wingdings" w:hAnsi="Wingdings" w:hint="default"/>
      </w:rPr>
    </w:lvl>
    <w:lvl w:ilvl="3" w:tplc="0C070001" w:tentative="1">
      <w:start w:val="1"/>
      <w:numFmt w:val="bullet"/>
      <w:lvlText w:val=""/>
      <w:lvlJc w:val="left"/>
      <w:pPr>
        <w:ind w:left="2695" w:hanging="360"/>
      </w:pPr>
      <w:rPr>
        <w:rFonts w:ascii="Symbol" w:hAnsi="Symbol" w:hint="default"/>
      </w:rPr>
    </w:lvl>
    <w:lvl w:ilvl="4" w:tplc="0C070003" w:tentative="1">
      <w:start w:val="1"/>
      <w:numFmt w:val="bullet"/>
      <w:lvlText w:val="o"/>
      <w:lvlJc w:val="left"/>
      <w:pPr>
        <w:ind w:left="3415" w:hanging="360"/>
      </w:pPr>
      <w:rPr>
        <w:rFonts w:ascii="Courier New" w:hAnsi="Courier New" w:cs="Courier New" w:hint="default"/>
      </w:rPr>
    </w:lvl>
    <w:lvl w:ilvl="5" w:tplc="0C070005" w:tentative="1">
      <w:start w:val="1"/>
      <w:numFmt w:val="bullet"/>
      <w:lvlText w:val=""/>
      <w:lvlJc w:val="left"/>
      <w:pPr>
        <w:ind w:left="4135" w:hanging="360"/>
      </w:pPr>
      <w:rPr>
        <w:rFonts w:ascii="Wingdings" w:hAnsi="Wingdings" w:hint="default"/>
      </w:rPr>
    </w:lvl>
    <w:lvl w:ilvl="6" w:tplc="0C070001" w:tentative="1">
      <w:start w:val="1"/>
      <w:numFmt w:val="bullet"/>
      <w:lvlText w:val=""/>
      <w:lvlJc w:val="left"/>
      <w:pPr>
        <w:ind w:left="4855" w:hanging="360"/>
      </w:pPr>
      <w:rPr>
        <w:rFonts w:ascii="Symbol" w:hAnsi="Symbol" w:hint="default"/>
      </w:rPr>
    </w:lvl>
    <w:lvl w:ilvl="7" w:tplc="0C070003" w:tentative="1">
      <w:start w:val="1"/>
      <w:numFmt w:val="bullet"/>
      <w:lvlText w:val="o"/>
      <w:lvlJc w:val="left"/>
      <w:pPr>
        <w:ind w:left="5575" w:hanging="360"/>
      </w:pPr>
      <w:rPr>
        <w:rFonts w:ascii="Courier New" w:hAnsi="Courier New" w:cs="Courier New" w:hint="default"/>
      </w:rPr>
    </w:lvl>
    <w:lvl w:ilvl="8" w:tplc="0C070005" w:tentative="1">
      <w:start w:val="1"/>
      <w:numFmt w:val="bullet"/>
      <w:lvlText w:val=""/>
      <w:lvlJc w:val="left"/>
      <w:pPr>
        <w:ind w:left="6295" w:hanging="360"/>
      </w:pPr>
      <w:rPr>
        <w:rFonts w:ascii="Wingdings" w:hAnsi="Wingdings" w:hint="default"/>
      </w:rPr>
    </w:lvl>
  </w:abstractNum>
  <w:abstractNum w:abstractNumId="28">
    <w:nsid w:val="7E0B3D79"/>
    <w:multiLevelType w:val="hybridMultilevel"/>
    <w:tmpl w:val="05864DCC"/>
    <w:lvl w:ilvl="0" w:tplc="0410000F">
      <w:start w:val="1"/>
      <w:numFmt w:val="decimal"/>
      <w:lvlText w:val="%1."/>
      <w:lvlJc w:val="left"/>
      <w:pPr>
        <w:ind w:left="360" w:hanging="360"/>
      </w:pPr>
      <w:rPr>
        <w:rFont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num w:numId="1">
    <w:abstractNumId w:val="24"/>
  </w:num>
  <w:num w:numId="2">
    <w:abstractNumId w:val="0"/>
  </w:num>
  <w:num w:numId="3">
    <w:abstractNumId w:val="28"/>
  </w:num>
  <w:num w:numId="4">
    <w:abstractNumId w:val="16"/>
  </w:num>
  <w:num w:numId="5">
    <w:abstractNumId w:val="11"/>
  </w:num>
  <w:num w:numId="6">
    <w:abstractNumId w:val="27"/>
  </w:num>
  <w:num w:numId="7">
    <w:abstractNumId w:val="2"/>
  </w:num>
  <w:num w:numId="8">
    <w:abstractNumId w:val="3"/>
  </w:num>
  <w:num w:numId="9">
    <w:abstractNumId w:val="21"/>
  </w:num>
  <w:num w:numId="10">
    <w:abstractNumId w:val="19"/>
  </w:num>
  <w:num w:numId="11">
    <w:abstractNumId w:val="17"/>
  </w:num>
  <w:num w:numId="12">
    <w:abstractNumId w:val="22"/>
  </w:num>
  <w:num w:numId="13">
    <w:abstractNumId w:val="23"/>
  </w:num>
  <w:num w:numId="14">
    <w:abstractNumId w:val="15"/>
  </w:num>
  <w:num w:numId="15">
    <w:abstractNumId w:val="8"/>
  </w:num>
  <w:num w:numId="16">
    <w:abstractNumId w:val="13"/>
  </w:num>
  <w:num w:numId="17">
    <w:abstractNumId w:val="5"/>
  </w:num>
  <w:num w:numId="18">
    <w:abstractNumId w:val="14"/>
  </w:num>
  <w:num w:numId="19">
    <w:abstractNumId w:val="4"/>
  </w:num>
  <w:num w:numId="20">
    <w:abstractNumId w:val="6"/>
  </w:num>
  <w:num w:numId="21">
    <w:abstractNumId w:val="12"/>
  </w:num>
  <w:num w:numId="22">
    <w:abstractNumId w:val="18"/>
  </w:num>
  <w:num w:numId="23">
    <w:abstractNumId w:val="20"/>
  </w:num>
  <w:num w:numId="24">
    <w:abstractNumId w:val="9"/>
  </w:num>
  <w:num w:numId="25">
    <w:abstractNumId w:val="7"/>
  </w:num>
  <w:num w:numId="26">
    <w:abstractNumId w:val="10"/>
  </w:num>
  <w:num w:numId="27">
    <w:abstractNumId w:val="1"/>
  </w:num>
  <w:num w:numId="28">
    <w:abstractNumId w:val="25"/>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37"/>
    <w:rsid w:val="00000F52"/>
    <w:rsid w:val="00002FD2"/>
    <w:rsid w:val="00004E34"/>
    <w:rsid w:val="00006B0C"/>
    <w:rsid w:val="00007439"/>
    <w:rsid w:val="00013B01"/>
    <w:rsid w:val="00014290"/>
    <w:rsid w:val="0001559F"/>
    <w:rsid w:val="00020D47"/>
    <w:rsid w:val="00021474"/>
    <w:rsid w:val="00023B0C"/>
    <w:rsid w:val="00025BA8"/>
    <w:rsid w:val="00030643"/>
    <w:rsid w:val="00033744"/>
    <w:rsid w:val="000344BD"/>
    <w:rsid w:val="00040659"/>
    <w:rsid w:val="00042917"/>
    <w:rsid w:val="0004393A"/>
    <w:rsid w:val="00044959"/>
    <w:rsid w:val="00047CCE"/>
    <w:rsid w:val="00050585"/>
    <w:rsid w:val="00052C55"/>
    <w:rsid w:val="00053EC9"/>
    <w:rsid w:val="0005780D"/>
    <w:rsid w:val="00070AC6"/>
    <w:rsid w:val="00070B1E"/>
    <w:rsid w:val="00072148"/>
    <w:rsid w:val="00074CD7"/>
    <w:rsid w:val="00082FF7"/>
    <w:rsid w:val="000847DF"/>
    <w:rsid w:val="00084824"/>
    <w:rsid w:val="00086AD6"/>
    <w:rsid w:val="0009115B"/>
    <w:rsid w:val="00091E18"/>
    <w:rsid w:val="00093DCC"/>
    <w:rsid w:val="00094501"/>
    <w:rsid w:val="0009454F"/>
    <w:rsid w:val="00095EC2"/>
    <w:rsid w:val="00096F5B"/>
    <w:rsid w:val="000A54A6"/>
    <w:rsid w:val="000A7262"/>
    <w:rsid w:val="000B3ACE"/>
    <w:rsid w:val="000B3E59"/>
    <w:rsid w:val="000B4545"/>
    <w:rsid w:val="000B6849"/>
    <w:rsid w:val="000B766C"/>
    <w:rsid w:val="000C00E4"/>
    <w:rsid w:val="000C0917"/>
    <w:rsid w:val="000C1B4B"/>
    <w:rsid w:val="000C5B0F"/>
    <w:rsid w:val="000C61D9"/>
    <w:rsid w:val="000C665F"/>
    <w:rsid w:val="000D44A0"/>
    <w:rsid w:val="000E0DFE"/>
    <w:rsid w:val="000E15AF"/>
    <w:rsid w:val="000E4D14"/>
    <w:rsid w:val="000E4FBE"/>
    <w:rsid w:val="000E6B20"/>
    <w:rsid w:val="000E71CD"/>
    <w:rsid w:val="000F35EC"/>
    <w:rsid w:val="000F3737"/>
    <w:rsid w:val="000F38A5"/>
    <w:rsid w:val="000F79BC"/>
    <w:rsid w:val="00105356"/>
    <w:rsid w:val="00106B5D"/>
    <w:rsid w:val="00110625"/>
    <w:rsid w:val="00112450"/>
    <w:rsid w:val="001137B4"/>
    <w:rsid w:val="001167AA"/>
    <w:rsid w:val="00120BEE"/>
    <w:rsid w:val="001219A7"/>
    <w:rsid w:val="00122DD3"/>
    <w:rsid w:val="00123B4F"/>
    <w:rsid w:val="00124360"/>
    <w:rsid w:val="00125429"/>
    <w:rsid w:val="00126D4F"/>
    <w:rsid w:val="0012761F"/>
    <w:rsid w:val="00132282"/>
    <w:rsid w:val="00132A86"/>
    <w:rsid w:val="00135383"/>
    <w:rsid w:val="00145227"/>
    <w:rsid w:val="00152E06"/>
    <w:rsid w:val="001552F2"/>
    <w:rsid w:val="00160D53"/>
    <w:rsid w:val="00163886"/>
    <w:rsid w:val="0016574E"/>
    <w:rsid w:val="00165D95"/>
    <w:rsid w:val="00176382"/>
    <w:rsid w:val="00176F3D"/>
    <w:rsid w:val="001772CC"/>
    <w:rsid w:val="00177AAA"/>
    <w:rsid w:val="00180886"/>
    <w:rsid w:val="00180E59"/>
    <w:rsid w:val="001850FD"/>
    <w:rsid w:val="00186A0B"/>
    <w:rsid w:val="00190016"/>
    <w:rsid w:val="00190CF5"/>
    <w:rsid w:val="00190DCC"/>
    <w:rsid w:val="00191A66"/>
    <w:rsid w:val="001928DC"/>
    <w:rsid w:val="0019489B"/>
    <w:rsid w:val="00195A1E"/>
    <w:rsid w:val="00196480"/>
    <w:rsid w:val="00197630"/>
    <w:rsid w:val="001A10FA"/>
    <w:rsid w:val="001A26FD"/>
    <w:rsid w:val="001A3146"/>
    <w:rsid w:val="001A755B"/>
    <w:rsid w:val="001B280A"/>
    <w:rsid w:val="001B3891"/>
    <w:rsid w:val="001B6451"/>
    <w:rsid w:val="001B7DAD"/>
    <w:rsid w:val="001C02AE"/>
    <w:rsid w:val="001C0507"/>
    <w:rsid w:val="001C354A"/>
    <w:rsid w:val="001C711C"/>
    <w:rsid w:val="001C7C9F"/>
    <w:rsid w:val="001D009D"/>
    <w:rsid w:val="001D03C4"/>
    <w:rsid w:val="001D0F56"/>
    <w:rsid w:val="001D1665"/>
    <w:rsid w:val="001D331B"/>
    <w:rsid w:val="001D43A0"/>
    <w:rsid w:val="001D4F7B"/>
    <w:rsid w:val="001D621E"/>
    <w:rsid w:val="001D6AA0"/>
    <w:rsid w:val="001D732C"/>
    <w:rsid w:val="001D7A52"/>
    <w:rsid w:val="001E09DC"/>
    <w:rsid w:val="001E4A71"/>
    <w:rsid w:val="001E4C7D"/>
    <w:rsid w:val="001E5F37"/>
    <w:rsid w:val="001E6C11"/>
    <w:rsid w:val="001E7AFC"/>
    <w:rsid w:val="001F0C7C"/>
    <w:rsid w:val="001F3491"/>
    <w:rsid w:val="001F5D79"/>
    <w:rsid w:val="001F63E5"/>
    <w:rsid w:val="001F6793"/>
    <w:rsid w:val="002012DF"/>
    <w:rsid w:val="002015CD"/>
    <w:rsid w:val="00202BB4"/>
    <w:rsid w:val="00206823"/>
    <w:rsid w:val="00212AD7"/>
    <w:rsid w:val="0021476D"/>
    <w:rsid w:val="002160E3"/>
    <w:rsid w:val="00217AD2"/>
    <w:rsid w:val="00221539"/>
    <w:rsid w:val="00224F29"/>
    <w:rsid w:val="00225C13"/>
    <w:rsid w:val="0022609E"/>
    <w:rsid w:val="002265B7"/>
    <w:rsid w:val="00230678"/>
    <w:rsid w:val="00230CB0"/>
    <w:rsid w:val="00230F5B"/>
    <w:rsid w:val="0023177C"/>
    <w:rsid w:val="002342D4"/>
    <w:rsid w:val="00234FBE"/>
    <w:rsid w:val="00236C05"/>
    <w:rsid w:val="00237CA2"/>
    <w:rsid w:val="00237CFF"/>
    <w:rsid w:val="00240AD9"/>
    <w:rsid w:val="00242D7A"/>
    <w:rsid w:val="00243161"/>
    <w:rsid w:val="002437F3"/>
    <w:rsid w:val="00246AEE"/>
    <w:rsid w:val="002472BA"/>
    <w:rsid w:val="00247339"/>
    <w:rsid w:val="00247D93"/>
    <w:rsid w:val="00250A05"/>
    <w:rsid w:val="002535CF"/>
    <w:rsid w:val="00256B4A"/>
    <w:rsid w:val="002579E1"/>
    <w:rsid w:val="002629A6"/>
    <w:rsid w:val="0026522C"/>
    <w:rsid w:val="0026670D"/>
    <w:rsid w:val="0026690A"/>
    <w:rsid w:val="0027017A"/>
    <w:rsid w:val="00271EE7"/>
    <w:rsid w:val="00272D49"/>
    <w:rsid w:val="00274560"/>
    <w:rsid w:val="002745BE"/>
    <w:rsid w:val="00281FD2"/>
    <w:rsid w:val="002822F0"/>
    <w:rsid w:val="0028331A"/>
    <w:rsid w:val="00284A07"/>
    <w:rsid w:val="0028535E"/>
    <w:rsid w:val="00285D00"/>
    <w:rsid w:val="002875BA"/>
    <w:rsid w:val="00287FDC"/>
    <w:rsid w:val="0029042C"/>
    <w:rsid w:val="00291A14"/>
    <w:rsid w:val="00292374"/>
    <w:rsid w:val="00294F13"/>
    <w:rsid w:val="00294F22"/>
    <w:rsid w:val="00297DEA"/>
    <w:rsid w:val="002A0A60"/>
    <w:rsid w:val="002A1399"/>
    <w:rsid w:val="002A454A"/>
    <w:rsid w:val="002A7644"/>
    <w:rsid w:val="002B213B"/>
    <w:rsid w:val="002B3450"/>
    <w:rsid w:val="002B4116"/>
    <w:rsid w:val="002B5225"/>
    <w:rsid w:val="002B7496"/>
    <w:rsid w:val="002C3A72"/>
    <w:rsid w:val="002C500D"/>
    <w:rsid w:val="002D2979"/>
    <w:rsid w:val="002D3B86"/>
    <w:rsid w:val="002E0516"/>
    <w:rsid w:val="002E130C"/>
    <w:rsid w:val="002E229E"/>
    <w:rsid w:val="002E46ED"/>
    <w:rsid w:val="002E5BCE"/>
    <w:rsid w:val="002E7486"/>
    <w:rsid w:val="002E7770"/>
    <w:rsid w:val="002F1920"/>
    <w:rsid w:val="002F23C0"/>
    <w:rsid w:val="002F2808"/>
    <w:rsid w:val="002F32E0"/>
    <w:rsid w:val="002F40D1"/>
    <w:rsid w:val="002F41AF"/>
    <w:rsid w:val="002F654F"/>
    <w:rsid w:val="002F6789"/>
    <w:rsid w:val="00301B4D"/>
    <w:rsid w:val="00302842"/>
    <w:rsid w:val="00303D0D"/>
    <w:rsid w:val="003040D2"/>
    <w:rsid w:val="003049AC"/>
    <w:rsid w:val="00305FDC"/>
    <w:rsid w:val="003062EF"/>
    <w:rsid w:val="00306DE9"/>
    <w:rsid w:val="00310315"/>
    <w:rsid w:val="00310F3F"/>
    <w:rsid w:val="00313472"/>
    <w:rsid w:val="003167B8"/>
    <w:rsid w:val="00316B6A"/>
    <w:rsid w:val="00322413"/>
    <w:rsid w:val="00326F74"/>
    <w:rsid w:val="0032756D"/>
    <w:rsid w:val="00331CC2"/>
    <w:rsid w:val="00332218"/>
    <w:rsid w:val="00333FC3"/>
    <w:rsid w:val="003340B3"/>
    <w:rsid w:val="00335728"/>
    <w:rsid w:val="003363DD"/>
    <w:rsid w:val="00340017"/>
    <w:rsid w:val="00340AEF"/>
    <w:rsid w:val="00341656"/>
    <w:rsid w:val="00343F33"/>
    <w:rsid w:val="00344B79"/>
    <w:rsid w:val="00346A79"/>
    <w:rsid w:val="00350C15"/>
    <w:rsid w:val="00356061"/>
    <w:rsid w:val="0036146C"/>
    <w:rsid w:val="003635D2"/>
    <w:rsid w:val="00363879"/>
    <w:rsid w:val="00365053"/>
    <w:rsid w:val="00366575"/>
    <w:rsid w:val="003721AC"/>
    <w:rsid w:val="00374623"/>
    <w:rsid w:val="00376734"/>
    <w:rsid w:val="003773FC"/>
    <w:rsid w:val="00377C4E"/>
    <w:rsid w:val="0038224B"/>
    <w:rsid w:val="00383D87"/>
    <w:rsid w:val="00383EAE"/>
    <w:rsid w:val="0038511B"/>
    <w:rsid w:val="0038605B"/>
    <w:rsid w:val="00386962"/>
    <w:rsid w:val="0039447F"/>
    <w:rsid w:val="003953E0"/>
    <w:rsid w:val="00395416"/>
    <w:rsid w:val="00395C46"/>
    <w:rsid w:val="003A0A31"/>
    <w:rsid w:val="003A48B4"/>
    <w:rsid w:val="003A6872"/>
    <w:rsid w:val="003B1047"/>
    <w:rsid w:val="003B442E"/>
    <w:rsid w:val="003B4736"/>
    <w:rsid w:val="003B5867"/>
    <w:rsid w:val="003C20DF"/>
    <w:rsid w:val="003C48EF"/>
    <w:rsid w:val="003C7D46"/>
    <w:rsid w:val="003D0186"/>
    <w:rsid w:val="003D4C3C"/>
    <w:rsid w:val="003E0536"/>
    <w:rsid w:val="003E1744"/>
    <w:rsid w:val="003E1CFE"/>
    <w:rsid w:val="003E46B7"/>
    <w:rsid w:val="003E69BB"/>
    <w:rsid w:val="003F00A6"/>
    <w:rsid w:val="003F29FC"/>
    <w:rsid w:val="003F435E"/>
    <w:rsid w:val="003F7C07"/>
    <w:rsid w:val="00400F92"/>
    <w:rsid w:val="00402063"/>
    <w:rsid w:val="0040303F"/>
    <w:rsid w:val="00404377"/>
    <w:rsid w:val="00406663"/>
    <w:rsid w:val="00410D05"/>
    <w:rsid w:val="00411A46"/>
    <w:rsid w:val="00412894"/>
    <w:rsid w:val="004131BE"/>
    <w:rsid w:val="004227D7"/>
    <w:rsid w:val="00422FD3"/>
    <w:rsid w:val="00425BA0"/>
    <w:rsid w:val="00433044"/>
    <w:rsid w:val="004335D1"/>
    <w:rsid w:val="00434B59"/>
    <w:rsid w:val="00435BC6"/>
    <w:rsid w:val="00440AA0"/>
    <w:rsid w:val="0044179D"/>
    <w:rsid w:val="00441A5B"/>
    <w:rsid w:val="00443ED8"/>
    <w:rsid w:val="00444017"/>
    <w:rsid w:val="00444AD7"/>
    <w:rsid w:val="004465FD"/>
    <w:rsid w:val="004472F4"/>
    <w:rsid w:val="00447E37"/>
    <w:rsid w:val="00455D7D"/>
    <w:rsid w:val="00456CB4"/>
    <w:rsid w:val="00456F01"/>
    <w:rsid w:val="00457399"/>
    <w:rsid w:val="0046022B"/>
    <w:rsid w:val="00460E92"/>
    <w:rsid w:val="0046149E"/>
    <w:rsid w:val="004638F8"/>
    <w:rsid w:val="004648AA"/>
    <w:rsid w:val="00464F5A"/>
    <w:rsid w:val="00465BE2"/>
    <w:rsid w:val="004664B0"/>
    <w:rsid w:val="0046699F"/>
    <w:rsid w:val="004677A8"/>
    <w:rsid w:val="00467CF7"/>
    <w:rsid w:val="00471466"/>
    <w:rsid w:val="0047261A"/>
    <w:rsid w:val="00475617"/>
    <w:rsid w:val="004764F7"/>
    <w:rsid w:val="00481050"/>
    <w:rsid w:val="004812A9"/>
    <w:rsid w:val="00485BDC"/>
    <w:rsid w:val="00490052"/>
    <w:rsid w:val="00490630"/>
    <w:rsid w:val="004916A5"/>
    <w:rsid w:val="0049674C"/>
    <w:rsid w:val="0049702B"/>
    <w:rsid w:val="004A142E"/>
    <w:rsid w:val="004A1A6B"/>
    <w:rsid w:val="004A5EE3"/>
    <w:rsid w:val="004B17AA"/>
    <w:rsid w:val="004B1972"/>
    <w:rsid w:val="004B1E0E"/>
    <w:rsid w:val="004B2F25"/>
    <w:rsid w:val="004B63C9"/>
    <w:rsid w:val="004B7063"/>
    <w:rsid w:val="004B71C9"/>
    <w:rsid w:val="004B79B9"/>
    <w:rsid w:val="004C2758"/>
    <w:rsid w:val="004C4FD0"/>
    <w:rsid w:val="004C62DD"/>
    <w:rsid w:val="004C6F85"/>
    <w:rsid w:val="004D387E"/>
    <w:rsid w:val="004D503C"/>
    <w:rsid w:val="004D6A86"/>
    <w:rsid w:val="004D7BDE"/>
    <w:rsid w:val="004E0E4F"/>
    <w:rsid w:val="004E38AD"/>
    <w:rsid w:val="004E3BFB"/>
    <w:rsid w:val="004E4A0A"/>
    <w:rsid w:val="004E56DC"/>
    <w:rsid w:val="004E7E18"/>
    <w:rsid w:val="004F10A9"/>
    <w:rsid w:val="0050027C"/>
    <w:rsid w:val="0050034A"/>
    <w:rsid w:val="00500977"/>
    <w:rsid w:val="00501EA7"/>
    <w:rsid w:val="00502544"/>
    <w:rsid w:val="00502C5C"/>
    <w:rsid w:val="005076D8"/>
    <w:rsid w:val="00510D2E"/>
    <w:rsid w:val="00513924"/>
    <w:rsid w:val="00513CDD"/>
    <w:rsid w:val="005165BF"/>
    <w:rsid w:val="005167D9"/>
    <w:rsid w:val="005223B8"/>
    <w:rsid w:val="00526988"/>
    <w:rsid w:val="005305A2"/>
    <w:rsid w:val="00533640"/>
    <w:rsid w:val="00533D3C"/>
    <w:rsid w:val="00534D9E"/>
    <w:rsid w:val="00536AF1"/>
    <w:rsid w:val="005405D5"/>
    <w:rsid w:val="0054456C"/>
    <w:rsid w:val="00545EAE"/>
    <w:rsid w:val="005513DC"/>
    <w:rsid w:val="0055174D"/>
    <w:rsid w:val="00551B3B"/>
    <w:rsid w:val="00552D11"/>
    <w:rsid w:val="005537EA"/>
    <w:rsid w:val="00554439"/>
    <w:rsid w:val="00555585"/>
    <w:rsid w:val="0055706A"/>
    <w:rsid w:val="00563788"/>
    <w:rsid w:val="005665B9"/>
    <w:rsid w:val="00566F52"/>
    <w:rsid w:val="005676B8"/>
    <w:rsid w:val="00575151"/>
    <w:rsid w:val="00575F0E"/>
    <w:rsid w:val="005772A0"/>
    <w:rsid w:val="00581F2C"/>
    <w:rsid w:val="00582385"/>
    <w:rsid w:val="005859D6"/>
    <w:rsid w:val="00585E8E"/>
    <w:rsid w:val="0058661A"/>
    <w:rsid w:val="00590CBD"/>
    <w:rsid w:val="00592138"/>
    <w:rsid w:val="00592D7F"/>
    <w:rsid w:val="00593FA1"/>
    <w:rsid w:val="00593FF3"/>
    <w:rsid w:val="0059439D"/>
    <w:rsid w:val="005945BE"/>
    <w:rsid w:val="005A1211"/>
    <w:rsid w:val="005A13D6"/>
    <w:rsid w:val="005B0BD5"/>
    <w:rsid w:val="005B2214"/>
    <w:rsid w:val="005B2C9D"/>
    <w:rsid w:val="005B3172"/>
    <w:rsid w:val="005B330D"/>
    <w:rsid w:val="005B52DF"/>
    <w:rsid w:val="005B6776"/>
    <w:rsid w:val="005B7F89"/>
    <w:rsid w:val="005C00AE"/>
    <w:rsid w:val="005C0CB2"/>
    <w:rsid w:val="005C1D2E"/>
    <w:rsid w:val="005C6115"/>
    <w:rsid w:val="005C6231"/>
    <w:rsid w:val="005C7517"/>
    <w:rsid w:val="005C768A"/>
    <w:rsid w:val="005D0696"/>
    <w:rsid w:val="005D07B8"/>
    <w:rsid w:val="005D0A94"/>
    <w:rsid w:val="005D0F92"/>
    <w:rsid w:val="005D18B4"/>
    <w:rsid w:val="005D2189"/>
    <w:rsid w:val="005D4E15"/>
    <w:rsid w:val="005D5718"/>
    <w:rsid w:val="005D7BA2"/>
    <w:rsid w:val="005E0791"/>
    <w:rsid w:val="005E1509"/>
    <w:rsid w:val="005E28E3"/>
    <w:rsid w:val="005E3EA0"/>
    <w:rsid w:val="005E52A5"/>
    <w:rsid w:val="005E57B8"/>
    <w:rsid w:val="005E6258"/>
    <w:rsid w:val="005F27AD"/>
    <w:rsid w:val="005F2E41"/>
    <w:rsid w:val="005F42E3"/>
    <w:rsid w:val="005F7086"/>
    <w:rsid w:val="00600117"/>
    <w:rsid w:val="00602A70"/>
    <w:rsid w:val="006115F1"/>
    <w:rsid w:val="006135DD"/>
    <w:rsid w:val="006154F7"/>
    <w:rsid w:val="00620228"/>
    <w:rsid w:val="00624FB9"/>
    <w:rsid w:val="00631E73"/>
    <w:rsid w:val="0063243B"/>
    <w:rsid w:val="00633398"/>
    <w:rsid w:val="0063447B"/>
    <w:rsid w:val="0063459A"/>
    <w:rsid w:val="0063791D"/>
    <w:rsid w:val="006408E3"/>
    <w:rsid w:val="0064371F"/>
    <w:rsid w:val="00644D09"/>
    <w:rsid w:val="00644F79"/>
    <w:rsid w:val="006502EE"/>
    <w:rsid w:val="00651A6B"/>
    <w:rsid w:val="00651ECE"/>
    <w:rsid w:val="00655402"/>
    <w:rsid w:val="00657730"/>
    <w:rsid w:val="00660B53"/>
    <w:rsid w:val="00660DCB"/>
    <w:rsid w:val="0066356F"/>
    <w:rsid w:val="00663637"/>
    <w:rsid w:val="006644EC"/>
    <w:rsid w:val="00664EDF"/>
    <w:rsid w:val="00665167"/>
    <w:rsid w:val="006655B9"/>
    <w:rsid w:val="00666C6B"/>
    <w:rsid w:val="0066739A"/>
    <w:rsid w:val="00671E28"/>
    <w:rsid w:val="00672A78"/>
    <w:rsid w:val="0067358D"/>
    <w:rsid w:val="00674956"/>
    <w:rsid w:val="00675451"/>
    <w:rsid w:val="00675808"/>
    <w:rsid w:val="00677533"/>
    <w:rsid w:val="006820AE"/>
    <w:rsid w:val="00683AD6"/>
    <w:rsid w:val="00687298"/>
    <w:rsid w:val="00690197"/>
    <w:rsid w:val="0069041A"/>
    <w:rsid w:val="006949B6"/>
    <w:rsid w:val="00697EE0"/>
    <w:rsid w:val="006A1C4B"/>
    <w:rsid w:val="006A21B3"/>
    <w:rsid w:val="006A41DF"/>
    <w:rsid w:val="006A5372"/>
    <w:rsid w:val="006A7039"/>
    <w:rsid w:val="006B3F38"/>
    <w:rsid w:val="006B4371"/>
    <w:rsid w:val="006B505E"/>
    <w:rsid w:val="006B6EC8"/>
    <w:rsid w:val="006B713C"/>
    <w:rsid w:val="006B7B32"/>
    <w:rsid w:val="006C0BC7"/>
    <w:rsid w:val="006C0C33"/>
    <w:rsid w:val="006C241F"/>
    <w:rsid w:val="006C3118"/>
    <w:rsid w:val="006C3182"/>
    <w:rsid w:val="006C5BFC"/>
    <w:rsid w:val="006C6EB7"/>
    <w:rsid w:val="006C6F40"/>
    <w:rsid w:val="006C79F3"/>
    <w:rsid w:val="006D17BF"/>
    <w:rsid w:val="006D2CA8"/>
    <w:rsid w:val="006D32F6"/>
    <w:rsid w:val="006D3567"/>
    <w:rsid w:val="006D43A7"/>
    <w:rsid w:val="006D782E"/>
    <w:rsid w:val="006D7983"/>
    <w:rsid w:val="006E31FD"/>
    <w:rsid w:val="006E42A3"/>
    <w:rsid w:val="006E4EC5"/>
    <w:rsid w:val="006E5696"/>
    <w:rsid w:val="006E6663"/>
    <w:rsid w:val="006E6AAB"/>
    <w:rsid w:val="006E7A32"/>
    <w:rsid w:val="006F0181"/>
    <w:rsid w:val="006F1220"/>
    <w:rsid w:val="006F166B"/>
    <w:rsid w:val="006F3252"/>
    <w:rsid w:val="006F4C58"/>
    <w:rsid w:val="006F5B9F"/>
    <w:rsid w:val="0070078F"/>
    <w:rsid w:val="00701E8B"/>
    <w:rsid w:val="00702B66"/>
    <w:rsid w:val="00703C07"/>
    <w:rsid w:val="00710A2B"/>
    <w:rsid w:val="00712FF4"/>
    <w:rsid w:val="00714857"/>
    <w:rsid w:val="00715E7C"/>
    <w:rsid w:val="007218AB"/>
    <w:rsid w:val="00721A4A"/>
    <w:rsid w:val="00723E6C"/>
    <w:rsid w:val="00726D44"/>
    <w:rsid w:val="00733477"/>
    <w:rsid w:val="007374AB"/>
    <w:rsid w:val="00737DC3"/>
    <w:rsid w:val="00743D4E"/>
    <w:rsid w:val="007441BB"/>
    <w:rsid w:val="0074520A"/>
    <w:rsid w:val="007456D8"/>
    <w:rsid w:val="0075105B"/>
    <w:rsid w:val="00751202"/>
    <w:rsid w:val="00752F98"/>
    <w:rsid w:val="00752FB1"/>
    <w:rsid w:val="00753B3E"/>
    <w:rsid w:val="00756567"/>
    <w:rsid w:val="00756E70"/>
    <w:rsid w:val="00760446"/>
    <w:rsid w:val="00760750"/>
    <w:rsid w:val="0076181F"/>
    <w:rsid w:val="0076433A"/>
    <w:rsid w:val="00766E47"/>
    <w:rsid w:val="00767D23"/>
    <w:rsid w:val="00772337"/>
    <w:rsid w:val="00773BC0"/>
    <w:rsid w:val="00773D72"/>
    <w:rsid w:val="00776391"/>
    <w:rsid w:val="00780D26"/>
    <w:rsid w:val="00781FD2"/>
    <w:rsid w:val="00782A13"/>
    <w:rsid w:val="00783EA9"/>
    <w:rsid w:val="007862B6"/>
    <w:rsid w:val="00792264"/>
    <w:rsid w:val="00794C85"/>
    <w:rsid w:val="00794C9B"/>
    <w:rsid w:val="0079533D"/>
    <w:rsid w:val="007A056F"/>
    <w:rsid w:val="007A0868"/>
    <w:rsid w:val="007A4D84"/>
    <w:rsid w:val="007A5624"/>
    <w:rsid w:val="007A64FD"/>
    <w:rsid w:val="007A6D56"/>
    <w:rsid w:val="007B023B"/>
    <w:rsid w:val="007B10AD"/>
    <w:rsid w:val="007B1D57"/>
    <w:rsid w:val="007B1E61"/>
    <w:rsid w:val="007B401C"/>
    <w:rsid w:val="007B4509"/>
    <w:rsid w:val="007B4933"/>
    <w:rsid w:val="007B4D66"/>
    <w:rsid w:val="007B50BD"/>
    <w:rsid w:val="007B5C9E"/>
    <w:rsid w:val="007B62D2"/>
    <w:rsid w:val="007B6D86"/>
    <w:rsid w:val="007B7AA6"/>
    <w:rsid w:val="007B7B4D"/>
    <w:rsid w:val="007C019C"/>
    <w:rsid w:val="007C0AA8"/>
    <w:rsid w:val="007C1978"/>
    <w:rsid w:val="007C4F3B"/>
    <w:rsid w:val="007C5394"/>
    <w:rsid w:val="007C5762"/>
    <w:rsid w:val="007C676E"/>
    <w:rsid w:val="007D1334"/>
    <w:rsid w:val="007D140D"/>
    <w:rsid w:val="007D26DB"/>
    <w:rsid w:val="007D2A38"/>
    <w:rsid w:val="007D2D91"/>
    <w:rsid w:val="007D494B"/>
    <w:rsid w:val="007D7985"/>
    <w:rsid w:val="007E27F8"/>
    <w:rsid w:val="007E35A7"/>
    <w:rsid w:val="007E3776"/>
    <w:rsid w:val="007E4CB5"/>
    <w:rsid w:val="007E5F45"/>
    <w:rsid w:val="007F02CA"/>
    <w:rsid w:val="007F178C"/>
    <w:rsid w:val="007F4EAD"/>
    <w:rsid w:val="007F4EE4"/>
    <w:rsid w:val="007F5826"/>
    <w:rsid w:val="007F59D6"/>
    <w:rsid w:val="007F646B"/>
    <w:rsid w:val="007F7DDA"/>
    <w:rsid w:val="00800823"/>
    <w:rsid w:val="00803ECB"/>
    <w:rsid w:val="00804F15"/>
    <w:rsid w:val="008055CB"/>
    <w:rsid w:val="00810731"/>
    <w:rsid w:val="008158A6"/>
    <w:rsid w:val="00816FE1"/>
    <w:rsid w:val="00817B33"/>
    <w:rsid w:val="00820515"/>
    <w:rsid w:val="00820651"/>
    <w:rsid w:val="00822564"/>
    <w:rsid w:val="00823BAF"/>
    <w:rsid w:val="0082407E"/>
    <w:rsid w:val="00825B74"/>
    <w:rsid w:val="00827822"/>
    <w:rsid w:val="008325FD"/>
    <w:rsid w:val="00832D23"/>
    <w:rsid w:val="00837ECD"/>
    <w:rsid w:val="008401E1"/>
    <w:rsid w:val="008406DF"/>
    <w:rsid w:val="008410F5"/>
    <w:rsid w:val="00843034"/>
    <w:rsid w:val="00843B67"/>
    <w:rsid w:val="00844333"/>
    <w:rsid w:val="008474C7"/>
    <w:rsid w:val="00847E2B"/>
    <w:rsid w:val="0085188E"/>
    <w:rsid w:val="00852E1D"/>
    <w:rsid w:val="00854444"/>
    <w:rsid w:val="00854C59"/>
    <w:rsid w:val="008550F8"/>
    <w:rsid w:val="008563EB"/>
    <w:rsid w:val="0085650D"/>
    <w:rsid w:val="008568F2"/>
    <w:rsid w:val="00857670"/>
    <w:rsid w:val="008578A3"/>
    <w:rsid w:val="008619B7"/>
    <w:rsid w:val="00863B62"/>
    <w:rsid w:val="00863FA8"/>
    <w:rsid w:val="00864534"/>
    <w:rsid w:val="00864B09"/>
    <w:rsid w:val="00864B54"/>
    <w:rsid w:val="0087002E"/>
    <w:rsid w:val="00870F6D"/>
    <w:rsid w:val="0087136C"/>
    <w:rsid w:val="00871795"/>
    <w:rsid w:val="008726E5"/>
    <w:rsid w:val="00873EB4"/>
    <w:rsid w:val="00875096"/>
    <w:rsid w:val="008755CB"/>
    <w:rsid w:val="008758A1"/>
    <w:rsid w:val="008860EE"/>
    <w:rsid w:val="0088718D"/>
    <w:rsid w:val="00887423"/>
    <w:rsid w:val="00891887"/>
    <w:rsid w:val="00892696"/>
    <w:rsid w:val="00893AF4"/>
    <w:rsid w:val="008977FF"/>
    <w:rsid w:val="008A0AE4"/>
    <w:rsid w:val="008A37E8"/>
    <w:rsid w:val="008A436C"/>
    <w:rsid w:val="008A446C"/>
    <w:rsid w:val="008A6493"/>
    <w:rsid w:val="008A6BF6"/>
    <w:rsid w:val="008B4089"/>
    <w:rsid w:val="008C2DA6"/>
    <w:rsid w:val="008C311F"/>
    <w:rsid w:val="008C4710"/>
    <w:rsid w:val="008C5703"/>
    <w:rsid w:val="008C5787"/>
    <w:rsid w:val="008C5BE3"/>
    <w:rsid w:val="008C6799"/>
    <w:rsid w:val="008C7F23"/>
    <w:rsid w:val="008D4FFD"/>
    <w:rsid w:val="008D7AA5"/>
    <w:rsid w:val="008E0CE3"/>
    <w:rsid w:val="008E0E46"/>
    <w:rsid w:val="008E1679"/>
    <w:rsid w:val="008E19EC"/>
    <w:rsid w:val="008E4BF1"/>
    <w:rsid w:val="008E54FD"/>
    <w:rsid w:val="008E55FE"/>
    <w:rsid w:val="008E61B7"/>
    <w:rsid w:val="008E675E"/>
    <w:rsid w:val="008E6EC2"/>
    <w:rsid w:val="008F0494"/>
    <w:rsid w:val="008F209F"/>
    <w:rsid w:val="008F3386"/>
    <w:rsid w:val="008F68D5"/>
    <w:rsid w:val="00903009"/>
    <w:rsid w:val="009033E4"/>
    <w:rsid w:val="00903774"/>
    <w:rsid w:val="0090423A"/>
    <w:rsid w:val="009050E8"/>
    <w:rsid w:val="00905395"/>
    <w:rsid w:val="009059E8"/>
    <w:rsid w:val="00905ACD"/>
    <w:rsid w:val="0090776D"/>
    <w:rsid w:val="0091095C"/>
    <w:rsid w:val="009114DB"/>
    <w:rsid w:val="009162A4"/>
    <w:rsid w:val="00916CF3"/>
    <w:rsid w:val="00920157"/>
    <w:rsid w:val="0092349B"/>
    <w:rsid w:val="0093020C"/>
    <w:rsid w:val="00933BA5"/>
    <w:rsid w:val="00934806"/>
    <w:rsid w:val="00937221"/>
    <w:rsid w:val="00937331"/>
    <w:rsid w:val="009374F7"/>
    <w:rsid w:val="00940018"/>
    <w:rsid w:val="0094256A"/>
    <w:rsid w:val="0094605E"/>
    <w:rsid w:val="00950149"/>
    <w:rsid w:val="0095510A"/>
    <w:rsid w:val="00955B21"/>
    <w:rsid w:val="00957F90"/>
    <w:rsid w:val="00961269"/>
    <w:rsid w:val="00961A54"/>
    <w:rsid w:val="009629A2"/>
    <w:rsid w:val="0096463A"/>
    <w:rsid w:val="00965B74"/>
    <w:rsid w:val="00966697"/>
    <w:rsid w:val="009674CB"/>
    <w:rsid w:val="00970E97"/>
    <w:rsid w:val="00971D9B"/>
    <w:rsid w:val="0097221B"/>
    <w:rsid w:val="009725D3"/>
    <w:rsid w:val="00973660"/>
    <w:rsid w:val="00973A16"/>
    <w:rsid w:val="00973FA1"/>
    <w:rsid w:val="00974092"/>
    <w:rsid w:val="009741AA"/>
    <w:rsid w:val="0097600B"/>
    <w:rsid w:val="00981F5A"/>
    <w:rsid w:val="009833AF"/>
    <w:rsid w:val="00985B01"/>
    <w:rsid w:val="009915A9"/>
    <w:rsid w:val="0099249A"/>
    <w:rsid w:val="0099301C"/>
    <w:rsid w:val="00993196"/>
    <w:rsid w:val="00995A9D"/>
    <w:rsid w:val="009A05AA"/>
    <w:rsid w:val="009A0699"/>
    <w:rsid w:val="009A41F1"/>
    <w:rsid w:val="009A5186"/>
    <w:rsid w:val="009B04E1"/>
    <w:rsid w:val="009B05E9"/>
    <w:rsid w:val="009B1B62"/>
    <w:rsid w:val="009B2C10"/>
    <w:rsid w:val="009B3BCF"/>
    <w:rsid w:val="009B4BD7"/>
    <w:rsid w:val="009B67CD"/>
    <w:rsid w:val="009B682D"/>
    <w:rsid w:val="009B6E61"/>
    <w:rsid w:val="009B770B"/>
    <w:rsid w:val="009B7A38"/>
    <w:rsid w:val="009C1C15"/>
    <w:rsid w:val="009C23D8"/>
    <w:rsid w:val="009C4B21"/>
    <w:rsid w:val="009C5090"/>
    <w:rsid w:val="009C5B85"/>
    <w:rsid w:val="009C69F7"/>
    <w:rsid w:val="009C6F8A"/>
    <w:rsid w:val="009C75A2"/>
    <w:rsid w:val="009D5749"/>
    <w:rsid w:val="009E06CD"/>
    <w:rsid w:val="009E0796"/>
    <w:rsid w:val="009E1567"/>
    <w:rsid w:val="009E2EDE"/>
    <w:rsid w:val="009E4B23"/>
    <w:rsid w:val="009E4B4F"/>
    <w:rsid w:val="009E7896"/>
    <w:rsid w:val="009F2B5E"/>
    <w:rsid w:val="009F362E"/>
    <w:rsid w:val="009F6473"/>
    <w:rsid w:val="00A010C7"/>
    <w:rsid w:val="00A03214"/>
    <w:rsid w:val="00A05E0D"/>
    <w:rsid w:val="00A0634C"/>
    <w:rsid w:val="00A10DD3"/>
    <w:rsid w:val="00A127C7"/>
    <w:rsid w:val="00A13426"/>
    <w:rsid w:val="00A13A75"/>
    <w:rsid w:val="00A14861"/>
    <w:rsid w:val="00A156E7"/>
    <w:rsid w:val="00A175F6"/>
    <w:rsid w:val="00A17D37"/>
    <w:rsid w:val="00A20143"/>
    <w:rsid w:val="00A204B0"/>
    <w:rsid w:val="00A2105A"/>
    <w:rsid w:val="00A21350"/>
    <w:rsid w:val="00A25EA2"/>
    <w:rsid w:val="00A27CB8"/>
    <w:rsid w:val="00A3496C"/>
    <w:rsid w:val="00A35C3F"/>
    <w:rsid w:val="00A35D4A"/>
    <w:rsid w:val="00A36770"/>
    <w:rsid w:val="00A37399"/>
    <w:rsid w:val="00A401B0"/>
    <w:rsid w:val="00A41EEC"/>
    <w:rsid w:val="00A42F0F"/>
    <w:rsid w:val="00A445DD"/>
    <w:rsid w:val="00A45378"/>
    <w:rsid w:val="00A50194"/>
    <w:rsid w:val="00A540E7"/>
    <w:rsid w:val="00A55550"/>
    <w:rsid w:val="00A55BD9"/>
    <w:rsid w:val="00A573A3"/>
    <w:rsid w:val="00A57DE3"/>
    <w:rsid w:val="00A60CBB"/>
    <w:rsid w:val="00A63979"/>
    <w:rsid w:val="00A657FD"/>
    <w:rsid w:val="00A66B06"/>
    <w:rsid w:val="00A7223A"/>
    <w:rsid w:val="00A73276"/>
    <w:rsid w:val="00A73ABA"/>
    <w:rsid w:val="00A7540A"/>
    <w:rsid w:val="00A7691E"/>
    <w:rsid w:val="00A7765D"/>
    <w:rsid w:val="00A77EEE"/>
    <w:rsid w:val="00A8276A"/>
    <w:rsid w:val="00A82D7E"/>
    <w:rsid w:val="00A92F49"/>
    <w:rsid w:val="00A975C1"/>
    <w:rsid w:val="00A97EC7"/>
    <w:rsid w:val="00AA07D9"/>
    <w:rsid w:val="00AA102C"/>
    <w:rsid w:val="00AA14A1"/>
    <w:rsid w:val="00AA1F76"/>
    <w:rsid w:val="00AA303E"/>
    <w:rsid w:val="00AA33EA"/>
    <w:rsid w:val="00AA3557"/>
    <w:rsid w:val="00AB0DEE"/>
    <w:rsid w:val="00AB105D"/>
    <w:rsid w:val="00AB19A4"/>
    <w:rsid w:val="00AB3039"/>
    <w:rsid w:val="00AB3DC5"/>
    <w:rsid w:val="00AB4881"/>
    <w:rsid w:val="00AB62BC"/>
    <w:rsid w:val="00AC0D18"/>
    <w:rsid w:val="00AC213D"/>
    <w:rsid w:val="00AC2879"/>
    <w:rsid w:val="00AC2E69"/>
    <w:rsid w:val="00AC45D5"/>
    <w:rsid w:val="00AC48AC"/>
    <w:rsid w:val="00AC4FB6"/>
    <w:rsid w:val="00AD0F89"/>
    <w:rsid w:val="00AD1125"/>
    <w:rsid w:val="00AD480D"/>
    <w:rsid w:val="00AD4CCE"/>
    <w:rsid w:val="00AD5F7D"/>
    <w:rsid w:val="00AE22A9"/>
    <w:rsid w:val="00AE3AA5"/>
    <w:rsid w:val="00AE5664"/>
    <w:rsid w:val="00AE6F5F"/>
    <w:rsid w:val="00AF3786"/>
    <w:rsid w:val="00AF524A"/>
    <w:rsid w:val="00AF59DB"/>
    <w:rsid w:val="00AF7B8F"/>
    <w:rsid w:val="00B05439"/>
    <w:rsid w:val="00B069FC"/>
    <w:rsid w:val="00B07126"/>
    <w:rsid w:val="00B10AE8"/>
    <w:rsid w:val="00B12245"/>
    <w:rsid w:val="00B14129"/>
    <w:rsid w:val="00B141BC"/>
    <w:rsid w:val="00B16681"/>
    <w:rsid w:val="00B2352C"/>
    <w:rsid w:val="00B23F13"/>
    <w:rsid w:val="00B2504E"/>
    <w:rsid w:val="00B30FFB"/>
    <w:rsid w:val="00B31086"/>
    <w:rsid w:val="00B3124B"/>
    <w:rsid w:val="00B312ED"/>
    <w:rsid w:val="00B32631"/>
    <w:rsid w:val="00B32C88"/>
    <w:rsid w:val="00B3332C"/>
    <w:rsid w:val="00B3463B"/>
    <w:rsid w:val="00B3496F"/>
    <w:rsid w:val="00B37112"/>
    <w:rsid w:val="00B37420"/>
    <w:rsid w:val="00B4025E"/>
    <w:rsid w:val="00B4339A"/>
    <w:rsid w:val="00B47AD4"/>
    <w:rsid w:val="00B530B4"/>
    <w:rsid w:val="00B531C7"/>
    <w:rsid w:val="00B56634"/>
    <w:rsid w:val="00B56BBE"/>
    <w:rsid w:val="00B56DEA"/>
    <w:rsid w:val="00B57DB3"/>
    <w:rsid w:val="00B57ED5"/>
    <w:rsid w:val="00B61B58"/>
    <w:rsid w:val="00B6316D"/>
    <w:rsid w:val="00B63484"/>
    <w:rsid w:val="00B64EE9"/>
    <w:rsid w:val="00B6502E"/>
    <w:rsid w:val="00B65D4A"/>
    <w:rsid w:val="00B66019"/>
    <w:rsid w:val="00B66F15"/>
    <w:rsid w:val="00B83CC0"/>
    <w:rsid w:val="00B8683F"/>
    <w:rsid w:val="00B86B2F"/>
    <w:rsid w:val="00B872DF"/>
    <w:rsid w:val="00B9383D"/>
    <w:rsid w:val="00B93915"/>
    <w:rsid w:val="00B97887"/>
    <w:rsid w:val="00BA1A57"/>
    <w:rsid w:val="00BA1E95"/>
    <w:rsid w:val="00BA3876"/>
    <w:rsid w:val="00BA48AC"/>
    <w:rsid w:val="00BA72E7"/>
    <w:rsid w:val="00BB061D"/>
    <w:rsid w:val="00BB17C2"/>
    <w:rsid w:val="00BB456A"/>
    <w:rsid w:val="00BB4CE8"/>
    <w:rsid w:val="00BB4E68"/>
    <w:rsid w:val="00BB758B"/>
    <w:rsid w:val="00BC2F5B"/>
    <w:rsid w:val="00BC313C"/>
    <w:rsid w:val="00BC5B25"/>
    <w:rsid w:val="00BD022D"/>
    <w:rsid w:val="00BD0B33"/>
    <w:rsid w:val="00BD3BB6"/>
    <w:rsid w:val="00BD56FE"/>
    <w:rsid w:val="00BD6CC7"/>
    <w:rsid w:val="00BD71EE"/>
    <w:rsid w:val="00BE0758"/>
    <w:rsid w:val="00BE11A7"/>
    <w:rsid w:val="00BE1D32"/>
    <w:rsid w:val="00BE5BF7"/>
    <w:rsid w:val="00BF0124"/>
    <w:rsid w:val="00BF46A0"/>
    <w:rsid w:val="00BF5335"/>
    <w:rsid w:val="00BF55DF"/>
    <w:rsid w:val="00C00788"/>
    <w:rsid w:val="00C00B3E"/>
    <w:rsid w:val="00C02517"/>
    <w:rsid w:val="00C03A2F"/>
    <w:rsid w:val="00C061A1"/>
    <w:rsid w:val="00C07036"/>
    <w:rsid w:val="00C11F0B"/>
    <w:rsid w:val="00C12736"/>
    <w:rsid w:val="00C12B08"/>
    <w:rsid w:val="00C13390"/>
    <w:rsid w:val="00C17BAC"/>
    <w:rsid w:val="00C2194C"/>
    <w:rsid w:val="00C23732"/>
    <w:rsid w:val="00C23C30"/>
    <w:rsid w:val="00C275FA"/>
    <w:rsid w:val="00C2775B"/>
    <w:rsid w:val="00C27BAA"/>
    <w:rsid w:val="00C32081"/>
    <w:rsid w:val="00C3260D"/>
    <w:rsid w:val="00C34544"/>
    <w:rsid w:val="00C34C00"/>
    <w:rsid w:val="00C37306"/>
    <w:rsid w:val="00C42A9B"/>
    <w:rsid w:val="00C43C5F"/>
    <w:rsid w:val="00C455B4"/>
    <w:rsid w:val="00C45B5E"/>
    <w:rsid w:val="00C46E2B"/>
    <w:rsid w:val="00C478E5"/>
    <w:rsid w:val="00C47906"/>
    <w:rsid w:val="00C5218E"/>
    <w:rsid w:val="00C52BAF"/>
    <w:rsid w:val="00C56094"/>
    <w:rsid w:val="00C5659A"/>
    <w:rsid w:val="00C576E1"/>
    <w:rsid w:val="00C604B7"/>
    <w:rsid w:val="00C60D89"/>
    <w:rsid w:val="00C60FE7"/>
    <w:rsid w:val="00C61236"/>
    <w:rsid w:val="00C61E09"/>
    <w:rsid w:val="00C63036"/>
    <w:rsid w:val="00C673C4"/>
    <w:rsid w:val="00C67F52"/>
    <w:rsid w:val="00C7313B"/>
    <w:rsid w:val="00C74281"/>
    <w:rsid w:val="00C75CF2"/>
    <w:rsid w:val="00C80F46"/>
    <w:rsid w:val="00C82EA7"/>
    <w:rsid w:val="00C83145"/>
    <w:rsid w:val="00C84338"/>
    <w:rsid w:val="00C846C9"/>
    <w:rsid w:val="00C8526E"/>
    <w:rsid w:val="00C857F0"/>
    <w:rsid w:val="00C86D32"/>
    <w:rsid w:val="00C86F08"/>
    <w:rsid w:val="00C94EE6"/>
    <w:rsid w:val="00C95816"/>
    <w:rsid w:val="00C96F3A"/>
    <w:rsid w:val="00CA01AB"/>
    <w:rsid w:val="00CA0207"/>
    <w:rsid w:val="00CA04CC"/>
    <w:rsid w:val="00CA236E"/>
    <w:rsid w:val="00CA32B5"/>
    <w:rsid w:val="00CA4D84"/>
    <w:rsid w:val="00CA5DED"/>
    <w:rsid w:val="00CA6694"/>
    <w:rsid w:val="00CA6844"/>
    <w:rsid w:val="00CA742A"/>
    <w:rsid w:val="00CB2517"/>
    <w:rsid w:val="00CB317B"/>
    <w:rsid w:val="00CB32CD"/>
    <w:rsid w:val="00CB412B"/>
    <w:rsid w:val="00CC04B1"/>
    <w:rsid w:val="00CC1052"/>
    <w:rsid w:val="00CC2467"/>
    <w:rsid w:val="00CC788B"/>
    <w:rsid w:val="00CD2EAA"/>
    <w:rsid w:val="00CD406D"/>
    <w:rsid w:val="00CD5310"/>
    <w:rsid w:val="00CD5E22"/>
    <w:rsid w:val="00CD7008"/>
    <w:rsid w:val="00CE068B"/>
    <w:rsid w:val="00CE1186"/>
    <w:rsid w:val="00CE2DC2"/>
    <w:rsid w:val="00CE3B02"/>
    <w:rsid w:val="00CE6E8E"/>
    <w:rsid w:val="00CF0A68"/>
    <w:rsid w:val="00CF1FF7"/>
    <w:rsid w:val="00CF24ED"/>
    <w:rsid w:val="00CF2B5F"/>
    <w:rsid w:val="00CF480C"/>
    <w:rsid w:val="00CF4D61"/>
    <w:rsid w:val="00D00288"/>
    <w:rsid w:val="00D007A6"/>
    <w:rsid w:val="00D01C69"/>
    <w:rsid w:val="00D02796"/>
    <w:rsid w:val="00D050E6"/>
    <w:rsid w:val="00D074E6"/>
    <w:rsid w:val="00D07C3B"/>
    <w:rsid w:val="00D13F74"/>
    <w:rsid w:val="00D20370"/>
    <w:rsid w:val="00D20E23"/>
    <w:rsid w:val="00D21AB8"/>
    <w:rsid w:val="00D2315C"/>
    <w:rsid w:val="00D24459"/>
    <w:rsid w:val="00D25312"/>
    <w:rsid w:val="00D2742D"/>
    <w:rsid w:val="00D30CB0"/>
    <w:rsid w:val="00D33285"/>
    <w:rsid w:val="00D34443"/>
    <w:rsid w:val="00D34D79"/>
    <w:rsid w:val="00D35D6F"/>
    <w:rsid w:val="00D40517"/>
    <w:rsid w:val="00D40FEC"/>
    <w:rsid w:val="00D45ECD"/>
    <w:rsid w:val="00D4650C"/>
    <w:rsid w:val="00D46CB5"/>
    <w:rsid w:val="00D47999"/>
    <w:rsid w:val="00D47F03"/>
    <w:rsid w:val="00D512A8"/>
    <w:rsid w:val="00D51606"/>
    <w:rsid w:val="00D52ABE"/>
    <w:rsid w:val="00D531A1"/>
    <w:rsid w:val="00D6285F"/>
    <w:rsid w:val="00D66E70"/>
    <w:rsid w:val="00D72333"/>
    <w:rsid w:val="00D7354F"/>
    <w:rsid w:val="00D75DC9"/>
    <w:rsid w:val="00D76EE9"/>
    <w:rsid w:val="00D82F66"/>
    <w:rsid w:val="00D831D9"/>
    <w:rsid w:val="00D83B51"/>
    <w:rsid w:val="00D83DB8"/>
    <w:rsid w:val="00D86793"/>
    <w:rsid w:val="00D877EB"/>
    <w:rsid w:val="00D91B4F"/>
    <w:rsid w:val="00D920E5"/>
    <w:rsid w:val="00D940C6"/>
    <w:rsid w:val="00D94408"/>
    <w:rsid w:val="00D952E6"/>
    <w:rsid w:val="00D965DE"/>
    <w:rsid w:val="00D97053"/>
    <w:rsid w:val="00DA1304"/>
    <w:rsid w:val="00DA1AA9"/>
    <w:rsid w:val="00DA2013"/>
    <w:rsid w:val="00DA304D"/>
    <w:rsid w:val="00DA3A9C"/>
    <w:rsid w:val="00DA3FC3"/>
    <w:rsid w:val="00DA45AD"/>
    <w:rsid w:val="00DA460C"/>
    <w:rsid w:val="00DA68F7"/>
    <w:rsid w:val="00DB0926"/>
    <w:rsid w:val="00DB1B2D"/>
    <w:rsid w:val="00DB224C"/>
    <w:rsid w:val="00DB3CC6"/>
    <w:rsid w:val="00DB773A"/>
    <w:rsid w:val="00DB7D9D"/>
    <w:rsid w:val="00DC34AF"/>
    <w:rsid w:val="00DC47BB"/>
    <w:rsid w:val="00DC503C"/>
    <w:rsid w:val="00DC679A"/>
    <w:rsid w:val="00DD1D5E"/>
    <w:rsid w:val="00DD2BB6"/>
    <w:rsid w:val="00DD46CD"/>
    <w:rsid w:val="00DD4FF7"/>
    <w:rsid w:val="00DD5168"/>
    <w:rsid w:val="00DD6573"/>
    <w:rsid w:val="00DD6F6C"/>
    <w:rsid w:val="00DD74EB"/>
    <w:rsid w:val="00DE44DA"/>
    <w:rsid w:val="00DE4EBD"/>
    <w:rsid w:val="00DE5F31"/>
    <w:rsid w:val="00DE6206"/>
    <w:rsid w:val="00DF0BCD"/>
    <w:rsid w:val="00DF215B"/>
    <w:rsid w:val="00DF400F"/>
    <w:rsid w:val="00DF5749"/>
    <w:rsid w:val="00DF63BD"/>
    <w:rsid w:val="00DF6718"/>
    <w:rsid w:val="00DF696A"/>
    <w:rsid w:val="00DF6C27"/>
    <w:rsid w:val="00DF6D6C"/>
    <w:rsid w:val="00DF70AA"/>
    <w:rsid w:val="00DF75EC"/>
    <w:rsid w:val="00DF7955"/>
    <w:rsid w:val="00DF79C8"/>
    <w:rsid w:val="00E02907"/>
    <w:rsid w:val="00E02E9B"/>
    <w:rsid w:val="00E057F8"/>
    <w:rsid w:val="00E0741C"/>
    <w:rsid w:val="00E10625"/>
    <w:rsid w:val="00E1078E"/>
    <w:rsid w:val="00E111DE"/>
    <w:rsid w:val="00E11ABD"/>
    <w:rsid w:val="00E13004"/>
    <w:rsid w:val="00E13B16"/>
    <w:rsid w:val="00E13ECE"/>
    <w:rsid w:val="00E141A7"/>
    <w:rsid w:val="00E1594C"/>
    <w:rsid w:val="00E174CB"/>
    <w:rsid w:val="00E17BD9"/>
    <w:rsid w:val="00E206FA"/>
    <w:rsid w:val="00E20C4E"/>
    <w:rsid w:val="00E230E1"/>
    <w:rsid w:val="00E23EBF"/>
    <w:rsid w:val="00E25406"/>
    <w:rsid w:val="00E26DBF"/>
    <w:rsid w:val="00E34B63"/>
    <w:rsid w:val="00E34E8B"/>
    <w:rsid w:val="00E37AFD"/>
    <w:rsid w:val="00E42252"/>
    <w:rsid w:val="00E42D6B"/>
    <w:rsid w:val="00E4363C"/>
    <w:rsid w:val="00E43D4C"/>
    <w:rsid w:val="00E45352"/>
    <w:rsid w:val="00E46677"/>
    <w:rsid w:val="00E47B32"/>
    <w:rsid w:val="00E52B76"/>
    <w:rsid w:val="00E54FC9"/>
    <w:rsid w:val="00E60265"/>
    <w:rsid w:val="00E60449"/>
    <w:rsid w:val="00E650C4"/>
    <w:rsid w:val="00E70872"/>
    <w:rsid w:val="00E73B93"/>
    <w:rsid w:val="00E75C68"/>
    <w:rsid w:val="00E7688D"/>
    <w:rsid w:val="00E774AD"/>
    <w:rsid w:val="00E8353A"/>
    <w:rsid w:val="00E84715"/>
    <w:rsid w:val="00E87605"/>
    <w:rsid w:val="00E95A40"/>
    <w:rsid w:val="00E963DD"/>
    <w:rsid w:val="00EA0F85"/>
    <w:rsid w:val="00EA1ABB"/>
    <w:rsid w:val="00EA29C4"/>
    <w:rsid w:val="00EA41A4"/>
    <w:rsid w:val="00EA4E72"/>
    <w:rsid w:val="00EA5B53"/>
    <w:rsid w:val="00EA790A"/>
    <w:rsid w:val="00EB381D"/>
    <w:rsid w:val="00EB488E"/>
    <w:rsid w:val="00EB4BB0"/>
    <w:rsid w:val="00EB56C6"/>
    <w:rsid w:val="00EB7662"/>
    <w:rsid w:val="00EB7CE9"/>
    <w:rsid w:val="00EB7EF3"/>
    <w:rsid w:val="00EC0534"/>
    <w:rsid w:val="00EC2AF6"/>
    <w:rsid w:val="00EC2D8B"/>
    <w:rsid w:val="00EC3860"/>
    <w:rsid w:val="00EC4DBF"/>
    <w:rsid w:val="00EC4F9E"/>
    <w:rsid w:val="00EC5A49"/>
    <w:rsid w:val="00EC6161"/>
    <w:rsid w:val="00EC7B49"/>
    <w:rsid w:val="00ED0002"/>
    <w:rsid w:val="00ED1D42"/>
    <w:rsid w:val="00ED26FA"/>
    <w:rsid w:val="00ED2F3E"/>
    <w:rsid w:val="00ED3382"/>
    <w:rsid w:val="00ED4A7E"/>
    <w:rsid w:val="00ED5BAB"/>
    <w:rsid w:val="00ED7F4F"/>
    <w:rsid w:val="00EE2B85"/>
    <w:rsid w:val="00EE3801"/>
    <w:rsid w:val="00EE4521"/>
    <w:rsid w:val="00EE532B"/>
    <w:rsid w:val="00EF0F99"/>
    <w:rsid w:val="00EF201B"/>
    <w:rsid w:val="00EF2A57"/>
    <w:rsid w:val="00EF32EE"/>
    <w:rsid w:val="00EF4C20"/>
    <w:rsid w:val="00EF58A1"/>
    <w:rsid w:val="00EF6C2B"/>
    <w:rsid w:val="00EF7AAB"/>
    <w:rsid w:val="00EF7D93"/>
    <w:rsid w:val="00F00205"/>
    <w:rsid w:val="00F0035B"/>
    <w:rsid w:val="00F01C23"/>
    <w:rsid w:val="00F03503"/>
    <w:rsid w:val="00F04CF2"/>
    <w:rsid w:val="00F056AF"/>
    <w:rsid w:val="00F078C6"/>
    <w:rsid w:val="00F13B64"/>
    <w:rsid w:val="00F16968"/>
    <w:rsid w:val="00F16D3F"/>
    <w:rsid w:val="00F17C68"/>
    <w:rsid w:val="00F24E10"/>
    <w:rsid w:val="00F24FF1"/>
    <w:rsid w:val="00F2616E"/>
    <w:rsid w:val="00F30971"/>
    <w:rsid w:val="00F30DCF"/>
    <w:rsid w:val="00F30E35"/>
    <w:rsid w:val="00F33C09"/>
    <w:rsid w:val="00F343C3"/>
    <w:rsid w:val="00F34711"/>
    <w:rsid w:val="00F36CC5"/>
    <w:rsid w:val="00F37AFB"/>
    <w:rsid w:val="00F410FE"/>
    <w:rsid w:val="00F41174"/>
    <w:rsid w:val="00F41A3A"/>
    <w:rsid w:val="00F42B1A"/>
    <w:rsid w:val="00F436BD"/>
    <w:rsid w:val="00F52100"/>
    <w:rsid w:val="00F54E03"/>
    <w:rsid w:val="00F55D36"/>
    <w:rsid w:val="00F57406"/>
    <w:rsid w:val="00F6127F"/>
    <w:rsid w:val="00F63963"/>
    <w:rsid w:val="00F67F06"/>
    <w:rsid w:val="00F70F3D"/>
    <w:rsid w:val="00F722F9"/>
    <w:rsid w:val="00F72703"/>
    <w:rsid w:val="00F72F6C"/>
    <w:rsid w:val="00F731BA"/>
    <w:rsid w:val="00F73B57"/>
    <w:rsid w:val="00F75F64"/>
    <w:rsid w:val="00F77BF2"/>
    <w:rsid w:val="00F83F2A"/>
    <w:rsid w:val="00F844D9"/>
    <w:rsid w:val="00F85A80"/>
    <w:rsid w:val="00F86DC4"/>
    <w:rsid w:val="00F9335E"/>
    <w:rsid w:val="00F96476"/>
    <w:rsid w:val="00F9692E"/>
    <w:rsid w:val="00F9794E"/>
    <w:rsid w:val="00F97C99"/>
    <w:rsid w:val="00FA2FBD"/>
    <w:rsid w:val="00FA5BAF"/>
    <w:rsid w:val="00FA5FC7"/>
    <w:rsid w:val="00FB05AC"/>
    <w:rsid w:val="00FB225B"/>
    <w:rsid w:val="00FB3257"/>
    <w:rsid w:val="00FB430F"/>
    <w:rsid w:val="00FB532F"/>
    <w:rsid w:val="00FB55EA"/>
    <w:rsid w:val="00FB6623"/>
    <w:rsid w:val="00FB71CA"/>
    <w:rsid w:val="00FC0F51"/>
    <w:rsid w:val="00FC61E4"/>
    <w:rsid w:val="00FC6208"/>
    <w:rsid w:val="00FD3CEF"/>
    <w:rsid w:val="00FD6182"/>
    <w:rsid w:val="00FD725E"/>
    <w:rsid w:val="00FD7AF3"/>
    <w:rsid w:val="00FE107E"/>
    <w:rsid w:val="00FE260C"/>
    <w:rsid w:val="00FE38AC"/>
    <w:rsid w:val="00FE4CAE"/>
    <w:rsid w:val="00FF0AE9"/>
    <w:rsid w:val="00FF1055"/>
    <w:rsid w:val="00FF18A3"/>
    <w:rsid w:val="00FF3354"/>
    <w:rsid w:val="00FF385E"/>
    <w:rsid w:val="00FF3B2E"/>
    <w:rsid w:val="00FF50C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39B66"/>
  <w15:docId w15:val="{1E347F41-6A41-4E1B-AAC6-50F97AD64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cs-CZ"/>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C4B21"/>
    <w:pPr>
      <w:spacing w:after="200" w:line="276" w:lineRule="auto"/>
    </w:pPr>
    <w:rPr>
      <w:sz w:val="22"/>
      <w:szCs w:val="22"/>
    </w:rPr>
  </w:style>
  <w:style w:type="paragraph" w:styleId="Nadpis1">
    <w:name w:val="heading 1"/>
    <w:basedOn w:val="Normln"/>
    <w:next w:val="Normln"/>
    <w:link w:val="Nadpis1Char"/>
    <w:uiPriority w:val="9"/>
    <w:qFormat/>
    <w:rsid w:val="00E84715"/>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qFormat/>
    <w:rsid w:val="00E84715"/>
    <w:pPr>
      <w:keepNext/>
      <w:spacing w:before="240" w:after="60"/>
      <w:outlineLvl w:val="1"/>
    </w:pPr>
    <w:rPr>
      <w:rFonts w:ascii="Cambria" w:eastAsia="Times New Roman" w:hAnsi="Cambria"/>
      <w:b/>
      <w:bCs/>
      <w:i/>
      <w:iCs/>
      <w:sz w:val="28"/>
      <w:szCs w:val="28"/>
    </w:rPr>
  </w:style>
  <w:style w:type="paragraph" w:styleId="Nadpis5">
    <w:name w:val="heading 5"/>
    <w:basedOn w:val="Normln"/>
    <w:next w:val="Normln"/>
    <w:link w:val="Nadpis5Char"/>
    <w:uiPriority w:val="9"/>
    <w:unhideWhenUsed/>
    <w:qFormat/>
    <w:rsid w:val="002B7496"/>
    <w:pPr>
      <w:keepNext/>
      <w:keepLines/>
      <w:spacing w:before="200" w:after="0"/>
      <w:outlineLvl w:val="4"/>
    </w:pPr>
    <w:rPr>
      <w:rFonts w:ascii="Cambria" w:eastAsia="Times New Roman" w:hAnsi="Cambria"/>
      <w:color w:val="243F6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qFormat/>
    <w:rsid w:val="00447E37"/>
    <w:pPr>
      <w:ind w:left="720"/>
      <w:contextualSpacing/>
    </w:pPr>
  </w:style>
  <w:style w:type="paragraph" w:styleId="Textbubliny">
    <w:name w:val="Balloon Text"/>
    <w:basedOn w:val="Normln"/>
    <w:link w:val="TextbublinyChar"/>
    <w:uiPriority w:val="99"/>
    <w:semiHidden/>
    <w:unhideWhenUsed/>
    <w:rsid w:val="008A0AE4"/>
    <w:pPr>
      <w:spacing w:after="0" w:line="240" w:lineRule="auto"/>
    </w:pPr>
    <w:rPr>
      <w:rFonts w:ascii="Tahoma" w:hAnsi="Tahoma"/>
      <w:sz w:val="16"/>
      <w:szCs w:val="16"/>
    </w:rPr>
  </w:style>
  <w:style w:type="character" w:customStyle="1" w:styleId="TextbublinyChar">
    <w:name w:val="Text bubliny Char"/>
    <w:link w:val="Textbubliny"/>
    <w:uiPriority w:val="99"/>
    <w:semiHidden/>
    <w:rsid w:val="008A0AE4"/>
    <w:rPr>
      <w:rFonts w:ascii="Tahoma" w:hAnsi="Tahoma" w:cs="Tahoma"/>
      <w:sz w:val="16"/>
      <w:szCs w:val="16"/>
    </w:rPr>
  </w:style>
  <w:style w:type="paragraph" w:styleId="Textpoznpodarou">
    <w:name w:val="footnote text"/>
    <w:aliases w:val="Footnote,Char1 Char,Footnote Char1,ESPON Footnote Text, Char1 Char"/>
    <w:basedOn w:val="Normln"/>
    <w:link w:val="TextpoznpodarouChar"/>
    <w:semiHidden/>
    <w:unhideWhenUsed/>
    <w:rsid w:val="0049674C"/>
    <w:rPr>
      <w:sz w:val="20"/>
      <w:szCs w:val="20"/>
    </w:rPr>
  </w:style>
  <w:style w:type="character" w:customStyle="1" w:styleId="TextpoznpodarouChar">
    <w:name w:val="Text pozn. pod čarou Char"/>
    <w:aliases w:val="Footnote Char,Char1 Char Char,Footnote Char1 Char,ESPON Footnote Text Char, Char1 Char Char"/>
    <w:link w:val="Textpoznpodarou"/>
    <w:semiHidden/>
    <w:rsid w:val="0049674C"/>
    <w:rPr>
      <w:lang w:eastAsia="cs-CZ"/>
    </w:rPr>
  </w:style>
  <w:style w:type="character" w:styleId="Znakapoznpodarou">
    <w:name w:val="footnote reference"/>
    <w:aliases w:val="ESPON Footnote No"/>
    <w:semiHidden/>
    <w:unhideWhenUsed/>
    <w:rsid w:val="0049674C"/>
    <w:rPr>
      <w:vertAlign w:val="superscript"/>
    </w:rPr>
  </w:style>
  <w:style w:type="character" w:styleId="Hypertextovodkaz">
    <w:name w:val="Hyperlink"/>
    <w:uiPriority w:val="99"/>
    <w:unhideWhenUsed/>
    <w:rsid w:val="00563788"/>
    <w:rPr>
      <w:color w:val="0000FF"/>
      <w:u w:val="single"/>
    </w:rPr>
  </w:style>
  <w:style w:type="paragraph" w:styleId="Zhlav">
    <w:name w:val="header"/>
    <w:basedOn w:val="Normln"/>
    <w:link w:val="ZhlavChar"/>
    <w:uiPriority w:val="99"/>
    <w:unhideWhenUsed/>
    <w:rsid w:val="00C86F08"/>
    <w:pPr>
      <w:tabs>
        <w:tab w:val="center" w:pos="4819"/>
        <w:tab w:val="right" w:pos="9638"/>
      </w:tabs>
    </w:pPr>
  </w:style>
  <w:style w:type="character" w:customStyle="1" w:styleId="ZhlavChar">
    <w:name w:val="Záhlaví Char"/>
    <w:link w:val="Zhlav"/>
    <w:uiPriority w:val="99"/>
    <w:rsid w:val="00C86F08"/>
    <w:rPr>
      <w:sz w:val="22"/>
      <w:szCs w:val="22"/>
      <w:lang w:val="cs-CZ" w:eastAsia="cs-CZ"/>
    </w:rPr>
  </w:style>
  <w:style w:type="paragraph" w:styleId="Zpat">
    <w:name w:val="footer"/>
    <w:basedOn w:val="Normln"/>
    <w:link w:val="ZpatChar"/>
    <w:uiPriority w:val="99"/>
    <w:unhideWhenUsed/>
    <w:rsid w:val="00C86F08"/>
    <w:pPr>
      <w:tabs>
        <w:tab w:val="center" w:pos="4819"/>
        <w:tab w:val="right" w:pos="9638"/>
      </w:tabs>
    </w:pPr>
  </w:style>
  <w:style w:type="character" w:customStyle="1" w:styleId="ZpatChar">
    <w:name w:val="Zápatí Char"/>
    <w:link w:val="Zpat"/>
    <w:uiPriority w:val="99"/>
    <w:rsid w:val="00C86F08"/>
    <w:rPr>
      <w:sz w:val="22"/>
      <w:szCs w:val="22"/>
      <w:lang w:val="cs-CZ" w:eastAsia="cs-CZ"/>
    </w:rPr>
  </w:style>
  <w:style w:type="paragraph" w:styleId="Textvysvtlivek">
    <w:name w:val="endnote text"/>
    <w:basedOn w:val="Normln"/>
    <w:link w:val="TextvysvtlivekChar"/>
    <w:uiPriority w:val="99"/>
    <w:semiHidden/>
    <w:unhideWhenUsed/>
    <w:rsid w:val="00A37399"/>
    <w:rPr>
      <w:sz w:val="20"/>
      <w:szCs w:val="20"/>
    </w:rPr>
  </w:style>
  <w:style w:type="character" w:customStyle="1" w:styleId="TextvysvtlivekChar">
    <w:name w:val="Text vysvětlivek Char"/>
    <w:link w:val="Textvysvtlivek"/>
    <w:uiPriority w:val="99"/>
    <w:semiHidden/>
    <w:rsid w:val="00A37399"/>
    <w:rPr>
      <w:lang w:eastAsia="cs-CZ"/>
    </w:rPr>
  </w:style>
  <w:style w:type="character" w:styleId="Odkaznavysvtlivky">
    <w:name w:val="endnote reference"/>
    <w:uiPriority w:val="99"/>
    <w:semiHidden/>
    <w:unhideWhenUsed/>
    <w:rsid w:val="00A37399"/>
    <w:rPr>
      <w:vertAlign w:val="superscript"/>
    </w:rPr>
  </w:style>
  <w:style w:type="character" w:styleId="Odkaznakoment">
    <w:name w:val="annotation reference"/>
    <w:uiPriority w:val="99"/>
    <w:semiHidden/>
    <w:unhideWhenUsed/>
    <w:rsid w:val="00B3124B"/>
    <w:rPr>
      <w:sz w:val="16"/>
      <w:szCs w:val="16"/>
    </w:rPr>
  </w:style>
  <w:style w:type="paragraph" w:styleId="Textkomente">
    <w:name w:val="annotation text"/>
    <w:basedOn w:val="Normln"/>
    <w:link w:val="TextkomenteChar"/>
    <w:uiPriority w:val="99"/>
    <w:semiHidden/>
    <w:unhideWhenUsed/>
    <w:rsid w:val="00B3124B"/>
    <w:rPr>
      <w:sz w:val="20"/>
      <w:szCs w:val="20"/>
    </w:rPr>
  </w:style>
  <w:style w:type="character" w:customStyle="1" w:styleId="TextkomenteChar">
    <w:name w:val="Text komentáře Char"/>
    <w:link w:val="Textkomente"/>
    <w:uiPriority w:val="99"/>
    <w:semiHidden/>
    <w:rsid w:val="00B3124B"/>
    <w:rPr>
      <w:lang w:val="cs-CZ" w:eastAsia="cs-CZ"/>
    </w:rPr>
  </w:style>
  <w:style w:type="paragraph" w:styleId="Pedmtkomente">
    <w:name w:val="annotation subject"/>
    <w:basedOn w:val="Textkomente"/>
    <w:next w:val="Textkomente"/>
    <w:link w:val="PedmtkomenteChar"/>
    <w:uiPriority w:val="99"/>
    <w:semiHidden/>
    <w:unhideWhenUsed/>
    <w:rsid w:val="00B3124B"/>
    <w:rPr>
      <w:b/>
      <w:bCs/>
    </w:rPr>
  </w:style>
  <w:style w:type="character" w:customStyle="1" w:styleId="PedmtkomenteChar">
    <w:name w:val="Předmět komentáře Char"/>
    <w:link w:val="Pedmtkomente"/>
    <w:uiPriority w:val="99"/>
    <w:semiHidden/>
    <w:rsid w:val="00B3124B"/>
    <w:rPr>
      <w:b/>
      <w:bCs/>
      <w:lang w:val="cs-CZ" w:eastAsia="cs-CZ"/>
    </w:rPr>
  </w:style>
  <w:style w:type="table" w:styleId="Mkatabulky">
    <w:name w:val="Table Grid"/>
    <w:basedOn w:val="Normlntabulka"/>
    <w:uiPriority w:val="59"/>
    <w:rsid w:val="00DF63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1Char">
    <w:name w:val="Nadpis 1 Char"/>
    <w:link w:val="Nadpis1"/>
    <w:uiPriority w:val="9"/>
    <w:rsid w:val="00E84715"/>
    <w:rPr>
      <w:rFonts w:ascii="Cambria" w:eastAsia="Times New Roman" w:hAnsi="Cambria" w:cs="Times New Roman"/>
      <w:b/>
      <w:bCs/>
      <w:kern w:val="32"/>
      <w:sz w:val="32"/>
      <w:szCs w:val="32"/>
      <w:lang w:eastAsia="cs-CZ"/>
    </w:rPr>
  </w:style>
  <w:style w:type="character" w:customStyle="1" w:styleId="Nadpis2Char">
    <w:name w:val="Nadpis 2 Char"/>
    <w:link w:val="Nadpis2"/>
    <w:uiPriority w:val="9"/>
    <w:rsid w:val="00E84715"/>
    <w:rPr>
      <w:rFonts w:ascii="Cambria" w:eastAsia="Times New Roman" w:hAnsi="Cambria" w:cs="Times New Roman"/>
      <w:b/>
      <w:bCs/>
      <w:i/>
      <w:iCs/>
      <w:sz w:val="28"/>
      <w:szCs w:val="28"/>
      <w:lang w:eastAsia="cs-CZ"/>
    </w:rPr>
  </w:style>
  <w:style w:type="paragraph" w:customStyle="1" w:styleId="Default">
    <w:name w:val="Default"/>
    <w:link w:val="DefaultCarattere"/>
    <w:rsid w:val="00202BB4"/>
    <w:pPr>
      <w:autoSpaceDE w:val="0"/>
      <w:autoSpaceDN w:val="0"/>
      <w:adjustRightInd w:val="0"/>
      <w:spacing w:after="120"/>
      <w:jc w:val="both"/>
    </w:pPr>
    <w:rPr>
      <w:rFonts w:eastAsia="Times New Roman"/>
      <w:sz w:val="22"/>
      <w:szCs w:val="22"/>
    </w:rPr>
  </w:style>
  <w:style w:type="character" w:customStyle="1" w:styleId="DefaultCarattere">
    <w:name w:val="Default Carattere"/>
    <w:link w:val="Default"/>
    <w:locked/>
    <w:rsid w:val="00202BB4"/>
    <w:rPr>
      <w:rFonts w:eastAsia="Times New Roman"/>
      <w:sz w:val="22"/>
      <w:szCs w:val="22"/>
      <w:lang w:val="cs-CZ" w:eastAsia="cs-CZ"/>
    </w:rPr>
  </w:style>
  <w:style w:type="table" w:styleId="Svtlstnovnzvraznn5">
    <w:name w:val="Light Shading Accent 5"/>
    <w:basedOn w:val="Normlntabulka"/>
    <w:uiPriority w:val="60"/>
    <w:rsid w:val="00D050E6"/>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Nadpisobsahu">
    <w:name w:val="TOC Heading"/>
    <w:basedOn w:val="Nadpis1"/>
    <w:next w:val="Normln"/>
    <w:uiPriority w:val="39"/>
    <w:semiHidden/>
    <w:unhideWhenUsed/>
    <w:qFormat/>
    <w:rsid w:val="00A35C3F"/>
    <w:pPr>
      <w:keepLines/>
      <w:spacing w:before="480" w:after="0"/>
      <w:outlineLvl w:val="9"/>
    </w:pPr>
    <w:rPr>
      <w:rFonts w:eastAsia="MS Gothic"/>
      <w:color w:val="365F91"/>
      <w:kern w:val="0"/>
      <w:sz w:val="28"/>
      <w:szCs w:val="28"/>
    </w:rPr>
  </w:style>
  <w:style w:type="paragraph" w:styleId="Obsah1">
    <w:name w:val="toc 1"/>
    <w:basedOn w:val="Normln"/>
    <w:next w:val="Normln"/>
    <w:autoRedefine/>
    <w:uiPriority w:val="39"/>
    <w:unhideWhenUsed/>
    <w:rsid w:val="00A35C3F"/>
    <w:pPr>
      <w:tabs>
        <w:tab w:val="right" w:leader="dot" w:pos="9062"/>
      </w:tabs>
      <w:spacing w:before="120" w:after="0"/>
    </w:pPr>
    <w:rPr>
      <w:rFonts w:ascii="Trebuchet MS" w:hAnsi="Trebuchet MS"/>
      <w:b/>
      <w:noProof/>
    </w:rPr>
  </w:style>
  <w:style w:type="paragraph" w:styleId="Obsah2">
    <w:name w:val="toc 2"/>
    <w:basedOn w:val="Normln"/>
    <w:next w:val="Normln"/>
    <w:autoRedefine/>
    <w:uiPriority w:val="39"/>
    <w:unhideWhenUsed/>
    <w:rsid w:val="00A35C3F"/>
    <w:pPr>
      <w:tabs>
        <w:tab w:val="right" w:leader="dot" w:pos="9062"/>
      </w:tabs>
      <w:spacing w:after="0" w:line="240" w:lineRule="auto"/>
      <w:ind w:left="221"/>
    </w:pPr>
  </w:style>
  <w:style w:type="paragraph" w:styleId="Normlnweb">
    <w:name w:val="Normal (Web)"/>
    <w:basedOn w:val="Normln"/>
    <w:uiPriority w:val="99"/>
    <w:semiHidden/>
    <w:unhideWhenUsed/>
    <w:rsid w:val="00AF59DB"/>
    <w:pPr>
      <w:spacing w:before="100" w:beforeAutospacing="1" w:after="100" w:afterAutospacing="1" w:line="240" w:lineRule="auto"/>
    </w:pPr>
    <w:rPr>
      <w:rFonts w:ascii="Times New Roman" w:eastAsia="Times New Roman" w:hAnsi="Times New Roman"/>
      <w:sz w:val="24"/>
      <w:szCs w:val="24"/>
    </w:rPr>
  </w:style>
  <w:style w:type="character" w:customStyle="1" w:styleId="Nadpis5Char">
    <w:name w:val="Nadpis 5 Char"/>
    <w:link w:val="Nadpis5"/>
    <w:uiPriority w:val="9"/>
    <w:rsid w:val="002B7496"/>
    <w:rPr>
      <w:rFonts w:ascii="Cambria" w:eastAsia="Times New Roman" w:hAnsi="Cambria"/>
      <w:color w:val="243F60"/>
      <w:sz w:val="22"/>
      <w:szCs w:val="22"/>
      <w:lang w:val="cs-CZ" w:eastAsia="cs-CZ"/>
    </w:rPr>
  </w:style>
  <w:style w:type="paragraph" w:customStyle="1" w:styleId="Aufzhlung">
    <w:name w:val="Aufzählung"/>
    <w:basedOn w:val="Seznamsodrkami"/>
    <w:qFormat/>
    <w:rsid w:val="009374F7"/>
    <w:pPr>
      <w:tabs>
        <w:tab w:val="clear" w:pos="360"/>
      </w:tabs>
      <w:spacing w:after="240" w:line="280" w:lineRule="atLeast"/>
      <w:jc w:val="both"/>
    </w:pPr>
    <w:rPr>
      <w:rFonts w:ascii="Arial" w:eastAsia="Times New Roman" w:hAnsi="Arial"/>
      <w:sz w:val="20"/>
      <w:szCs w:val="20"/>
    </w:rPr>
  </w:style>
  <w:style w:type="paragraph" w:styleId="Seznamsodrkami">
    <w:name w:val="List Bullet"/>
    <w:basedOn w:val="Normln"/>
    <w:uiPriority w:val="99"/>
    <w:semiHidden/>
    <w:unhideWhenUsed/>
    <w:rsid w:val="009374F7"/>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07913">
      <w:bodyDiv w:val="1"/>
      <w:marLeft w:val="0"/>
      <w:marRight w:val="0"/>
      <w:marTop w:val="0"/>
      <w:marBottom w:val="0"/>
      <w:divBdr>
        <w:top w:val="none" w:sz="0" w:space="0" w:color="auto"/>
        <w:left w:val="none" w:sz="0" w:space="0" w:color="auto"/>
        <w:bottom w:val="none" w:sz="0" w:space="0" w:color="auto"/>
        <w:right w:val="none" w:sz="0" w:space="0" w:color="auto"/>
      </w:divBdr>
    </w:div>
    <w:div w:id="165021502">
      <w:bodyDiv w:val="1"/>
      <w:marLeft w:val="0"/>
      <w:marRight w:val="0"/>
      <w:marTop w:val="0"/>
      <w:marBottom w:val="0"/>
      <w:divBdr>
        <w:top w:val="none" w:sz="0" w:space="0" w:color="auto"/>
        <w:left w:val="none" w:sz="0" w:space="0" w:color="auto"/>
        <w:bottom w:val="none" w:sz="0" w:space="0" w:color="auto"/>
        <w:right w:val="none" w:sz="0" w:space="0" w:color="auto"/>
      </w:divBdr>
    </w:div>
    <w:div w:id="219901046">
      <w:bodyDiv w:val="1"/>
      <w:marLeft w:val="0"/>
      <w:marRight w:val="0"/>
      <w:marTop w:val="0"/>
      <w:marBottom w:val="0"/>
      <w:divBdr>
        <w:top w:val="none" w:sz="0" w:space="0" w:color="auto"/>
        <w:left w:val="none" w:sz="0" w:space="0" w:color="auto"/>
        <w:bottom w:val="none" w:sz="0" w:space="0" w:color="auto"/>
        <w:right w:val="none" w:sz="0" w:space="0" w:color="auto"/>
      </w:divBdr>
    </w:div>
    <w:div w:id="239098852">
      <w:bodyDiv w:val="1"/>
      <w:marLeft w:val="0"/>
      <w:marRight w:val="0"/>
      <w:marTop w:val="0"/>
      <w:marBottom w:val="0"/>
      <w:divBdr>
        <w:top w:val="none" w:sz="0" w:space="0" w:color="auto"/>
        <w:left w:val="none" w:sz="0" w:space="0" w:color="auto"/>
        <w:bottom w:val="none" w:sz="0" w:space="0" w:color="auto"/>
        <w:right w:val="none" w:sz="0" w:space="0" w:color="auto"/>
      </w:divBdr>
    </w:div>
    <w:div w:id="522792496">
      <w:bodyDiv w:val="1"/>
      <w:marLeft w:val="0"/>
      <w:marRight w:val="0"/>
      <w:marTop w:val="0"/>
      <w:marBottom w:val="0"/>
      <w:divBdr>
        <w:top w:val="none" w:sz="0" w:space="0" w:color="auto"/>
        <w:left w:val="none" w:sz="0" w:space="0" w:color="auto"/>
        <w:bottom w:val="none" w:sz="0" w:space="0" w:color="auto"/>
        <w:right w:val="none" w:sz="0" w:space="0" w:color="auto"/>
      </w:divBdr>
    </w:div>
    <w:div w:id="733087386">
      <w:bodyDiv w:val="1"/>
      <w:marLeft w:val="0"/>
      <w:marRight w:val="0"/>
      <w:marTop w:val="0"/>
      <w:marBottom w:val="0"/>
      <w:divBdr>
        <w:top w:val="none" w:sz="0" w:space="0" w:color="auto"/>
        <w:left w:val="none" w:sz="0" w:space="0" w:color="auto"/>
        <w:bottom w:val="none" w:sz="0" w:space="0" w:color="auto"/>
        <w:right w:val="none" w:sz="0" w:space="0" w:color="auto"/>
      </w:divBdr>
    </w:div>
    <w:div w:id="753552592">
      <w:bodyDiv w:val="1"/>
      <w:marLeft w:val="0"/>
      <w:marRight w:val="0"/>
      <w:marTop w:val="0"/>
      <w:marBottom w:val="0"/>
      <w:divBdr>
        <w:top w:val="none" w:sz="0" w:space="0" w:color="auto"/>
        <w:left w:val="none" w:sz="0" w:space="0" w:color="auto"/>
        <w:bottom w:val="none" w:sz="0" w:space="0" w:color="auto"/>
        <w:right w:val="none" w:sz="0" w:space="0" w:color="auto"/>
      </w:divBdr>
      <w:divsChild>
        <w:div w:id="328800466">
          <w:marLeft w:val="0"/>
          <w:marRight w:val="0"/>
          <w:marTop w:val="0"/>
          <w:marBottom w:val="0"/>
          <w:divBdr>
            <w:top w:val="none" w:sz="0" w:space="0" w:color="auto"/>
            <w:left w:val="none" w:sz="0" w:space="0" w:color="auto"/>
            <w:bottom w:val="none" w:sz="0" w:space="0" w:color="auto"/>
            <w:right w:val="none" w:sz="0" w:space="0" w:color="auto"/>
          </w:divBdr>
        </w:div>
        <w:div w:id="364256472">
          <w:marLeft w:val="0"/>
          <w:marRight w:val="0"/>
          <w:marTop w:val="0"/>
          <w:marBottom w:val="0"/>
          <w:divBdr>
            <w:top w:val="none" w:sz="0" w:space="0" w:color="auto"/>
            <w:left w:val="none" w:sz="0" w:space="0" w:color="auto"/>
            <w:bottom w:val="none" w:sz="0" w:space="0" w:color="auto"/>
            <w:right w:val="none" w:sz="0" w:space="0" w:color="auto"/>
          </w:divBdr>
        </w:div>
        <w:div w:id="977757051">
          <w:marLeft w:val="0"/>
          <w:marRight w:val="0"/>
          <w:marTop w:val="0"/>
          <w:marBottom w:val="0"/>
          <w:divBdr>
            <w:top w:val="none" w:sz="0" w:space="0" w:color="auto"/>
            <w:left w:val="none" w:sz="0" w:space="0" w:color="auto"/>
            <w:bottom w:val="none" w:sz="0" w:space="0" w:color="auto"/>
            <w:right w:val="none" w:sz="0" w:space="0" w:color="auto"/>
          </w:divBdr>
        </w:div>
      </w:divsChild>
    </w:div>
    <w:div w:id="782768900">
      <w:bodyDiv w:val="1"/>
      <w:marLeft w:val="0"/>
      <w:marRight w:val="0"/>
      <w:marTop w:val="0"/>
      <w:marBottom w:val="0"/>
      <w:divBdr>
        <w:top w:val="none" w:sz="0" w:space="0" w:color="auto"/>
        <w:left w:val="none" w:sz="0" w:space="0" w:color="auto"/>
        <w:bottom w:val="none" w:sz="0" w:space="0" w:color="auto"/>
        <w:right w:val="none" w:sz="0" w:space="0" w:color="auto"/>
      </w:divBdr>
    </w:div>
    <w:div w:id="827133064">
      <w:bodyDiv w:val="1"/>
      <w:marLeft w:val="0"/>
      <w:marRight w:val="0"/>
      <w:marTop w:val="0"/>
      <w:marBottom w:val="0"/>
      <w:divBdr>
        <w:top w:val="none" w:sz="0" w:space="0" w:color="auto"/>
        <w:left w:val="none" w:sz="0" w:space="0" w:color="auto"/>
        <w:bottom w:val="none" w:sz="0" w:space="0" w:color="auto"/>
        <w:right w:val="none" w:sz="0" w:space="0" w:color="auto"/>
      </w:divBdr>
    </w:div>
    <w:div w:id="881985600">
      <w:bodyDiv w:val="1"/>
      <w:marLeft w:val="0"/>
      <w:marRight w:val="0"/>
      <w:marTop w:val="0"/>
      <w:marBottom w:val="0"/>
      <w:divBdr>
        <w:top w:val="none" w:sz="0" w:space="0" w:color="auto"/>
        <w:left w:val="none" w:sz="0" w:space="0" w:color="auto"/>
        <w:bottom w:val="none" w:sz="0" w:space="0" w:color="auto"/>
        <w:right w:val="none" w:sz="0" w:space="0" w:color="auto"/>
      </w:divBdr>
    </w:div>
    <w:div w:id="892355396">
      <w:bodyDiv w:val="1"/>
      <w:marLeft w:val="0"/>
      <w:marRight w:val="0"/>
      <w:marTop w:val="0"/>
      <w:marBottom w:val="0"/>
      <w:divBdr>
        <w:top w:val="none" w:sz="0" w:space="0" w:color="auto"/>
        <w:left w:val="none" w:sz="0" w:space="0" w:color="auto"/>
        <w:bottom w:val="none" w:sz="0" w:space="0" w:color="auto"/>
        <w:right w:val="none" w:sz="0" w:space="0" w:color="auto"/>
      </w:divBdr>
    </w:div>
    <w:div w:id="974020650">
      <w:bodyDiv w:val="1"/>
      <w:marLeft w:val="0"/>
      <w:marRight w:val="0"/>
      <w:marTop w:val="0"/>
      <w:marBottom w:val="0"/>
      <w:divBdr>
        <w:top w:val="none" w:sz="0" w:space="0" w:color="auto"/>
        <w:left w:val="none" w:sz="0" w:space="0" w:color="auto"/>
        <w:bottom w:val="none" w:sz="0" w:space="0" w:color="auto"/>
        <w:right w:val="none" w:sz="0" w:space="0" w:color="auto"/>
      </w:divBdr>
    </w:div>
    <w:div w:id="1012797407">
      <w:bodyDiv w:val="1"/>
      <w:marLeft w:val="0"/>
      <w:marRight w:val="0"/>
      <w:marTop w:val="0"/>
      <w:marBottom w:val="0"/>
      <w:divBdr>
        <w:top w:val="none" w:sz="0" w:space="0" w:color="auto"/>
        <w:left w:val="none" w:sz="0" w:space="0" w:color="auto"/>
        <w:bottom w:val="none" w:sz="0" w:space="0" w:color="auto"/>
        <w:right w:val="none" w:sz="0" w:space="0" w:color="auto"/>
      </w:divBdr>
    </w:div>
    <w:div w:id="1034119401">
      <w:bodyDiv w:val="1"/>
      <w:marLeft w:val="0"/>
      <w:marRight w:val="0"/>
      <w:marTop w:val="0"/>
      <w:marBottom w:val="0"/>
      <w:divBdr>
        <w:top w:val="none" w:sz="0" w:space="0" w:color="auto"/>
        <w:left w:val="none" w:sz="0" w:space="0" w:color="auto"/>
        <w:bottom w:val="none" w:sz="0" w:space="0" w:color="auto"/>
        <w:right w:val="none" w:sz="0" w:space="0" w:color="auto"/>
      </w:divBdr>
    </w:div>
    <w:div w:id="1134063972">
      <w:bodyDiv w:val="1"/>
      <w:marLeft w:val="0"/>
      <w:marRight w:val="0"/>
      <w:marTop w:val="0"/>
      <w:marBottom w:val="0"/>
      <w:divBdr>
        <w:top w:val="none" w:sz="0" w:space="0" w:color="auto"/>
        <w:left w:val="none" w:sz="0" w:space="0" w:color="auto"/>
        <w:bottom w:val="none" w:sz="0" w:space="0" w:color="auto"/>
        <w:right w:val="none" w:sz="0" w:space="0" w:color="auto"/>
      </w:divBdr>
    </w:div>
    <w:div w:id="1176916147">
      <w:bodyDiv w:val="1"/>
      <w:marLeft w:val="0"/>
      <w:marRight w:val="0"/>
      <w:marTop w:val="0"/>
      <w:marBottom w:val="0"/>
      <w:divBdr>
        <w:top w:val="none" w:sz="0" w:space="0" w:color="auto"/>
        <w:left w:val="none" w:sz="0" w:space="0" w:color="auto"/>
        <w:bottom w:val="none" w:sz="0" w:space="0" w:color="auto"/>
        <w:right w:val="none" w:sz="0" w:space="0" w:color="auto"/>
      </w:divBdr>
    </w:div>
    <w:div w:id="1210805436">
      <w:bodyDiv w:val="1"/>
      <w:marLeft w:val="0"/>
      <w:marRight w:val="0"/>
      <w:marTop w:val="0"/>
      <w:marBottom w:val="0"/>
      <w:divBdr>
        <w:top w:val="none" w:sz="0" w:space="0" w:color="auto"/>
        <w:left w:val="none" w:sz="0" w:space="0" w:color="auto"/>
        <w:bottom w:val="none" w:sz="0" w:space="0" w:color="auto"/>
        <w:right w:val="none" w:sz="0" w:space="0" w:color="auto"/>
      </w:divBdr>
    </w:div>
    <w:div w:id="1251162566">
      <w:bodyDiv w:val="1"/>
      <w:marLeft w:val="0"/>
      <w:marRight w:val="0"/>
      <w:marTop w:val="0"/>
      <w:marBottom w:val="0"/>
      <w:divBdr>
        <w:top w:val="none" w:sz="0" w:space="0" w:color="auto"/>
        <w:left w:val="none" w:sz="0" w:space="0" w:color="auto"/>
        <w:bottom w:val="none" w:sz="0" w:space="0" w:color="auto"/>
        <w:right w:val="none" w:sz="0" w:space="0" w:color="auto"/>
      </w:divBdr>
    </w:div>
    <w:div w:id="1351445290">
      <w:bodyDiv w:val="1"/>
      <w:marLeft w:val="0"/>
      <w:marRight w:val="0"/>
      <w:marTop w:val="0"/>
      <w:marBottom w:val="0"/>
      <w:divBdr>
        <w:top w:val="none" w:sz="0" w:space="0" w:color="auto"/>
        <w:left w:val="none" w:sz="0" w:space="0" w:color="auto"/>
        <w:bottom w:val="none" w:sz="0" w:space="0" w:color="auto"/>
        <w:right w:val="none" w:sz="0" w:space="0" w:color="auto"/>
      </w:divBdr>
    </w:div>
    <w:div w:id="1405487162">
      <w:bodyDiv w:val="1"/>
      <w:marLeft w:val="0"/>
      <w:marRight w:val="0"/>
      <w:marTop w:val="0"/>
      <w:marBottom w:val="0"/>
      <w:divBdr>
        <w:top w:val="none" w:sz="0" w:space="0" w:color="auto"/>
        <w:left w:val="none" w:sz="0" w:space="0" w:color="auto"/>
        <w:bottom w:val="none" w:sz="0" w:space="0" w:color="auto"/>
        <w:right w:val="none" w:sz="0" w:space="0" w:color="auto"/>
      </w:divBdr>
    </w:div>
    <w:div w:id="1430657190">
      <w:bodyDiv w:val="1"/>
      <w:marLeft w:val="0"/>
      <w:marRight w:val="0"/>
      <w:marTop w:val="0"/>
      <w:marBottom w:val="0"/>
      <w:divBdr>
        <w:top w:val="none" w:sz="0" w:space="0" w:color="auto"/>
        <w:left w:val="none" w:sz="0" w:space="0" w:color="auto"/>
        <w:bottom w:val="none" w:sz="0" w:space="0" w:color="auto"/>
        <w:right w:val="none" w:sz="0" w:space="0" w:color="auto"/>
      </w:divBdr>
    </w:div>
    <w:div w:id="1470126004">
      <w:bodyDiv w:val="1"/>
      <w:marLeft w:val="0"/>
      <w:marRight w:val="0"/>
      <w:marTop w:val="0"/>
      <w:marBottom w:val="0"/>
      <w:divBdr>
        <w:top w:val="none" w:sz="0" w:space="0" w:color="auto"/>
        <w:left w:val="none" w:sz="0" w:space="0" w:color="auto"/>
        <w:bottom w:val="none" w:sz="0" w:space="0" w:color="auto"/>
        <w:right w:val="none" w:sz="0" w:space="0" w:color="auto"/>
      </w:divBdr>
    </w:div>
    <w:div w:id="1533767503">
      <w:bodyDiv w:val="1"/>
      <w:marLeft w:val="0"/>
      <w:marRight w:val="0"/>
      <w:marTop w:val="0"/>
      <w:marBottom w:val="0"/>
      <w:divBdr>
        <w:top w:val="none" w:sz="0" w:space="0" w:color="auto"/>
        <w:left w:val="none" w:sz="0" w:space="0" w:color="auto"/>
        <w:bottom w:val="none" w:sz="0" w:space="0" w:color="auto"/>
        <w:right w:val="none" w:sz="0" w:space="0" w:color="auto"/>
      </w:divBdr>
    </w:div>
    <w:div w:id="1789158034">
      <w:bodyDiv w:val="1"/>
      <w:marLeft w:val="0"/>
      <w:marRight w:val="0"/>
      <w:marTop w:val="0"/>
      <w:marBottom w:val="0"/>
      <w:divBdr>
        <w:top w:val="none" w:sz="0" w:space="0" w:color="auto"/>
        <w:left w:val="none" w:sz="0" w:space="0" w:color="auto"/>
        <w:bottom w:val="none" w:sz="0" w:space="0" w:color="auto"/>
        <w:right w:val="none" w:sz="0" w:space="0" w:color="auto"/>
      </w:divBdr>
    </w:div>
    <w:div w:id="1793210480">
      <w:bodyDiv w:val="1"/>
      <w:marLeft w:val="0"/>
      <w:marRight w:val="0"/>
      <w:marTop w:val="0"/>
      <w:marBottom w:val="0"/>
      <w:divBdr>
        <w:top w:val="none" w:sz="0" w:space="0" w:color="auto"/>
        <w:left w:val="none" w:sz="0" w:space="0" w:color="auto"/>
        <w:bottom w:val="none" w:sz="0" w:space="0" w:color="auto"/>
        <w:right w:val="none" w:sz="0" w:space="0" w:color="auto"/>
      </w:divBdr>
    </w:div>
    <w:div w:id="1956016121">
      <w:bodyDiv w:val="1"/>
      <w:marLeft w:val="0"/>
      <w:marRight w:val="0"/>
      <w:marTop w:val="0"/>
      <w:marBottom w:val="0"/>
      <w:divBdr>
        <w:top w:val="none" w:sz="0" w:space="0" w:color="auto"/>
        <w:left w:val="none" w:sz="0" w:space="0" w:color="auto"/>
        <w:bottom w:val="none" w:sz="0" w:space="0" w:color="auto"/>
        <w:right w:val="none" w:sz="0" w:space="0" w:color="auto"/>
      </w:divBdr>
    </w:div>
    <w:div w:id="2053729345">
      <w:bodyDiv w:val="1"/>
      <w:marLeft w:val="0"/>
      <w:marRight w:val="0"/>
      <w:marTop w:val="0"/>
      <w:marBottom w:val="0"/>
      <w:divBdr>
        <w:top w:val="none" w:sz="0" w:space="0" w:color="auto"/>
        <w:left w:val="none" w:sz="0" w:space="0" w:color="auto"/>
        <w:bottom w:val="none" w:sz="0" w:space="0" w:color="auto"/>
        <w:right w:val="none" w:sz="0" w:space="0" w:color="auto"/>
      </w:divBdr>
    </w:div>
    <w:div w:id="2105609088">
      <w:bodyDiv w:val="1"/>
      <w:marLeft w:val="0"/>
      <w:marRight w:val="0"/>
      <w:marTop w:val="0"/>
      <w:marBottom w:val="0"/>
      <w:divBdr>
        <w:top w:val="none" w:sz="0" w:space="0" w:color="auto"/>
        <w:left w:val="none" w:sz="0" w:space="0" w:color="auto"/>
        <w:bottom w:val="none" w:sz="0" w:space="0" w:color="auto"/>
        <w:right w:val="none" w:sz="0" w:space="0" w:color="auto"/>
      </w:divBdr>
    </w:div>
    <w:div w:id="2119055507">
      <w:bodyDiv w:val="1"/>
      <w:marLeft w:val="0"/>
      <w:marRight w:val="0"/>
      <w:marTop w:val="0"/>
      <w:marBottom w:val="0"/>
      <w:divBdr>
        <w:top w:val="none" w:sz="0" w:space="0" w:color="auto"/>
        <w:left w:val="none" w:sz="0" w:space="0" w:color="auto"/>
        <w:bottom w:val="none" w:sz="0" w:space="0" w:color="auto"/>
        <w:right w:val="none" w:sz="0" w:space="0" w:color="auto"/>
      </w:divBdr>
    </w:div>
    <w:div w:id="212075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nkedin.com/in/centraleuropeprogramm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CentralEuropeProgramm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entral2020.eu/" TargetMode="External"/><Relationship Id="rId4" Type="http://schemas.openxmlformats.org/officeDocument/2006/relationships/settings" Target="settings.xml"/><Relationship Id="rId9" Type="http://schemas.openxmlformats.org/officeDocument/2006/relationships/hyperlink" Target="mailto:info@central2013.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E251E-0C3E-410D-95AF-62E102AA8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2414</Words>
  <Characters>14247</Characters>
  <Application>Microsoft Office Word</Application>
  <DocSecurity>0</DocSecurity>
  <Lines>118</Lines>
  <Paragraphs>33</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Macro-regional Strategies and Transnational Cooperation in</vt:lpstr>
      <vt:lpstr>Macro-regional Strategies and Transnational Cooperation in</vt:lpstr>
      <vt:lpstr>Macro-regional Strategies and Transnational Cooperation in </vt:lpstr>
    </vt:vector>
  </TitlesOfParts>
  <Company>Wien Holding GmbH</Company>
  <LinksUpToDate>false</LinksUpToDate>
  <CharactersWithSpaces>16628</CharactersWithSpaces>
  <SharedDoc>false</SharedDoc>
  <HLinks>
    <vt:vector size="24" baseType="variant">
      <vt:variant>
        <vt:i4>4128811</vt:i4>
      </vt:variant>
      <vt:variant>
        <vt:i4>9</vt:i4>
      </vt:variant>
      <vt:variant>
        <vt:i4>0</vt:i4>
      </vt:variant>
      <vt:variant>
        <vt:i4>5</vt:i4>
      </vt:variant>
      <vt:variant>
        <vt:lpwstr>http://www.facebook.com/CentralEuropeProgramme</vt:lpwstr>
      </vt:variant>
      <vt:variant>
        <vt:lpwstr/>
      </vt:variant>
      <vt:variant>
        <vt:i4>7405688</vt:i4>
      </vt:variant>
      <vt:variant>
        <vt:i4>6</vt:i4>
      </vt:variant>
      <vt:variant>
        <vt:i4>0</vt:i4>
      </vt:variant>
      <vt:variant>
        <vt:i4>5</vt:i4>
      </vt:variant>
      <vt:variant>
        <vt:lpwstr>http://www.central2013.eu/</vt:lpwstr>
      </vt:variant>
      <vt:variant>
        <vt:lpwstr/>
      </vt:variant>
      <vt:variant>
        <vt:i4>327742</vt:i4>
      </vt:variant>
      <vt:variant>
        <vt:i4>3</vt:i4>
      </vt:variant>
      <vt:variant>
        <vt:i4>0</vt:i4>
      </vt:variant>
      <vt:variant>
        <vt:i4>5</vt:i4>
      </vt:variant>
      <vt:variant>
        <vt:lpwstr>mailto:info@central2013.eu</vt:lpwstr>
      </vt:variant>
      <vt:variant>
        <vt:lpwstr/>
      </vt:variant>
      <vt:variant>
        <vt:i4>2228277</vt:i4>
      </vt:variant>
      <vt:variant>
        <vt:i4>0</vt:i4>
      </vt:variant>
      <vt:variant>
        <vt:i4>0</vt:i4>
      </vt:variant>
      <vt:variant>
        <vt:i4>5</vt:i4>
      </vt:variant>
      <vt:variant>
        <vt:lpwstr>http://www.central2013.eu/CE2014-20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Macro-regional Strategies and Transnational Cooperation in</dc:title>
  <dc:creator>Luca Ferrarese</dc:creator>
  <cp:lastModifiedBy>Roman Varga</cp:lastModifiedBy>
  <cp:revision>5</cp:revision>
  <cp:lastPrinted>2014-04-29T13:21:00Z</cp:lastPrinted>
  <dcterms:created xsi:type="dcterms:W3CDTF">2014-04-29T13:22:00Z</dcterms:created>
  <dcterms:modified xsi:type="dcterms:W3CDTF">2014-05-12T11:00:00Z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